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8A" w:rsidRDefault="00D73253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9F2A07" w:rsidRPr="00F32752">
        <w:rPr>
          <w:rFonts w:ascii="Times New Roman" w:hAnsi="Times New Roman" w:cs="Times New Roman"/>
          <w:b/>
          <w:sz w:val="24"/>
        </w:rPr>
        <w:t xml:space="preserve">тчет </w:t>
      </w:r>
      <w:r w:rsidR="009B7B8A">
        <w:rPr>
          <w:rFonts w:ascii="Times New Roman" w:hAnsi="Times New Roman" w:cs="Times New Roman"/>
          <w:b/>
          <w:sz w:val="24"/>
        </w:rPr>
        <w:t>п</w:t>
      </w:r>
      <w:r w:rsidR="009F2A07" w:rsidRPr="00F32752">
        <w:rPr>
          <w:rFonts w:ascii="Times New Roman" w:hAnsi="Times New Roman" w:cs="Times New Roman"/>
          <w:b/>
          <w:sz w:val="24"/>
        </w:rPr>
        <w:t xml:space="preserve">о </w:t>
      </w:r>
      <w:r w:rsidR="009B7B8A">
        <w:rPr>
          <w:rFonts w:ascii="Times New Roman" w:hAnsi="Times New Roman" w:cs="Times New Roman"/>
          <w:b/>
          <w:sz w:val="24"/>
        </w:rPr>
        <w:t xml:space="preserve">итогам </w:t>
      </w:r>
      <w:r w:rsidR="006E4D1B">
        <w:rPr>
          <w:rFonts w:ascii="Times New Roman" w:hAnsi="Times New Roman" w:cs="Times New Roman"/>
          <w:b/>
          <w:sz w:val="24"/>
        </w:rPr>
        <w:t xml:space="preserve">первого </w:t>
      </w:r>
      <w:r w:rsidR="009B7B8A">
        <w:rPr>
          <w:rFonts w:ascii="Times New Roman" w:hAnsi="Times New Roman" w:cs="Times New Roman"/>
          <w:b/>
          <w:sz w:val="24"/>
        </w:rPr>
        <w:t>полугодия 2019 года</w:t>
      </w:r>
    </w:p>
    <w:p w:rsidR="009B7B8A" w:rsidRDefault="009B7B8A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об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исполнении утверждённой тарифной сметы, </w:t>
      </w:r>
    </w:p>
    <w:p w:rsidR="005A6F7D" w:rsidRDefault="009B7B8A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об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исполнении утверждённой инвестиционной программы </w:t>
      </w:r>
      <w:r w:rsidR="009F2A07" w:rsidRPr="00F32752">
        <w:rPr>
          <w:rFonts w:ascii="Times New Roman" w:hAnsi="Times New Roman" w:cs="Times New Roman"/>
          <w:b/>
          <w:sz w:val="24"/>
        </w:rPr>
        <w:t xml:space="preserve"> </w:t>
      </w:r>
    </w:p>
    <w:p w:rsidR="005A6F7D" w:rsidRDefault="009F2A07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32752">
        <w:rPr>
          <w:rFonts w:ascii="Times New Roman" w:hAnsi="Times New Roman" w:cs="Times New Roman"/>
          <w:b/>
          <w:sz w:val="24"/>
        </w:rPr>
        <w:t xml:space="preserve">АО «Павлодарская Распределительная Электросетевая Компания» </w:t>
      </w:r>
    </w:p>
    <w:p w:rsidR="00F70323" w:rsidRPr="00F32752" w:rsidRDefault="009F2A07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F32752">
        <w:rPr>
          <w:rFonts w:ascii="Times New Roman" w:hAnsi="Times New Roman" w:cs="Times New Roman"/>
          <w:b/>
          <w:sz w:val="24"/>
        </w:rPr>
        <w:t>по</w:t>
      </w:r>
      <w:proofErr w:type="gramEnd"/>
      <w:r w:rsidRPr="00F32752">
        <w:rPr>
          <w:rFonts w:ascii="Times New Roman" w:hAnsi="Times New Roman" w:cs="Times New Roman"/>
          <w:b/>
          <w:sz w:val="24"/>
        </w:rPr>
        <w:t xml:space="preserve"> </w:t>
      </w:r>
      <w:r w:rsidR="005A6F7D">
        <w:rPr>
          <w:rFonts w:ascii="Times New Roman" w:hAnsi="Times New Roman" w:cs="Times New Roman"/>
          <w:b/>
          <w:sz w:val="24"/>
        </w:rPr>
        <w:t>предоставлению услуг по п</w:t>
      </w:r>
      <w:r w:rsidRPr="00F32752">
        <w:rPr>
          <w:rFonts w:ascii="Times New Roman" w:hAnsi="Times New Roman" w:cs="Times New Roman"/>
          <w:b/>
          <w:sz w:val="24"/>
        </w:rPr>
        <w:t>ередаче и распределению электрической энергии</w:t>
      </w:r>
    </w:p>
    <w:p w:rsidR="005A6F7D" w:rsidRDefault="005A6F7D" w:rsidP="00AC49F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F2A07" w:rsidRPr="00503A38" w:rsidRDefault="009F2A07" w:rsidP="00AC49F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03A38">
        <w:rPr>
          <w:rFonts w:ascii="Times New Roman" w:hAnsi="Times New Roman" w:cs="Times New Roman"/>
          <w:sz w:val="20"/>
          <w:szCs w:val="20"/>
        </w:rPr>
        <w:t>В соответствии с:</w:t>
      </w:r>
    </w:p>
    <w:p w:rsidR="007A4848" w:rsidRDefault="00320BFC" w:rsidP="000424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7A4848">
        <w:rPr>
          <w:rFonts w:ascii="Times New Roman" w:hAnsi="Times New Roman" w:cs="Times New Roman"/>
          <w:sz w:val="20"/>
          <w:szCs w:val="20"/>
        </w:rPr>
        <w:t xml:space="preserve">. </w:t>
      </w:r>
      <w:r w:rsidR="00065E33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 статьи 25 Закона Республики Казахстан «О естественных монополиях» от 27.12.2018 года № 204-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VI</w:t>
      </w:r>
      <w:r w:rsidR="00EA6B59">
        <w:rPr>
          <w:rFonts w:ascii="Times New Roman" w:hAnsi="Times New Roman" w:cs="Times New Roman"/>
          <w:sz w:val="20"/>
          <w:szCs w:val="20"/>
        </w:rPr>
        <w:t xml:space="preserve">, </w:t>
      </w:r>
      <w:r w:rsidR="00BF68A2">
        <w:rPr>
          <w:rFonts w:ascii="Times New Roman" w:hAnsi="Times New Roman" w:cs="Times New Roman"/>
          <w:sz w:val="20"/>
          <w:szCs w:val="20"/>
        </w:rPr>
        <w:t xml:space="preserve"> </w:t>
      </w:r>
      <w:r w:rsidR="00BF68A2">
        <w:rPr>
          <w:rFonts w:ascii="Times New Roman" w:hAnsi="Times New Roman" w:cs="Times New Roman"/>
          <w:sz w:val="20"/>
          <w:szCs w:val="20"/>
        </w:rPr>
        <w:br/>
      </w:r>
      <w:r w:rsidR="00EA6B59">
        <w:rPr>
          <w:rFonts w:ascii="Times New Roman" w:hAnsi="Times New Roman" w:cs="Times New Roman"/>
          <w:sz w:val="20"/>
          <w:szCs w:val="20"/>
        </w:rPr>
        <w:t>АО</w:t>
      </w:r>
      <w:proofErr w:type="gramEnd"/>
      <w:r w:rsidR="00EA6B59">
        <w:rPr>
          <w:rFonts w:ascii="Times New Roman" w:hAnsi="Times New Roman" w:cs="Times New Roman"/>
          <w:sz w:val="20"/>
          <w:szCs w:val="20"/>
        </w:rPr>
        <w:t xml:space="preserve"> «ПРЭК» за пять рабочих дней до проведения отчёта размещает на своем </w:t>
      </w:r>
      <w:proofErr w:type="spellStart"/>
      <w:r w:rsidR="00EA6B59">
        <w:rPr>
          <w:rFonts w:ascii="Times New Roman" w:hAnsi="Times New Roman" w:cs="Times New Roman"/>
          <w:sz w:val="20"/>
          <w:szCs w:val="20"/>
        </w:rPr>
        <w:t>интернет-ресурсе</w:t>
      </w:r>
      <w:proofErr w:type="spellEnd"/>
      <w:r w:rsidR="00EA6B59">
        <w:rPr>
          <w:rFonts w:ascii="Times New Roman" w:hAnsi="Times New Roman" w:cs="Times New Roman"/>
          <w:sz w:val="20"/>
          <w:szCs w:val="20"/>
        </w:rPr>
        <w:t xml:space="preserve"> информацию:</w:t>
      </w:r>
    </w:p>
    <w:p w:rsidR="005F6586" w:rsidRDefault="00503A38" w:rsidP="009B310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 xml:space="preserve">Об исполнении </w:t>
      </w:r>
      <w:r w:rsidR="00214793">
        <w:rPr>
          <w:rFonts w:ascii="Times New Roman" w:hAnsi="Times New Roman" w:cs="Times New Roman"/>
          <w:b/>
          <w:sz w:val="24"/>
        </w:rPr>
        <w:t xml:space="preserve">утверждённой </w:t>
      </w:r>
      <w:r w:rsidRPr="00863F52">
        <w:rPr>
          <w:rFonts w:ascii="Times New Roman" w:hAnsi="Times New Roman" w:cs="Times New Roman"/>
          <w:b/>
          <w:sz w:val="24"/>
        </w:rPr>
        <w:t>инвестиционн</w:t>
      </w:r>
      <w:r w:rsidR="00214793">
        <w:rPr>
          <w:rFonts w:ascii="Times New Roman" w:hAnsi="Times New Roman" w:cs="Times New Roman"/>
          <w:b/>
          <w:sz w:val="24"/>
        </w:rPr>
        <w:t>ой</w:t>
      </w:r>
      <w:r w:rsidRPr="00863F52">
        <w:rPr>
          <w:rFonts w:ascii="Times New Roman" w:hAnsi="Times New Roman" w:cs="Times New Roman"/>
          <w:b/>
          <w:sz w:val="24"/>
        </w:rPr>
        <w:t xml:space="preserve"> программ</w:t>
      </w:r>
      <w:r w:rsidR="00214793">
        <w:rPr>
          <w:rFonts w:ascii="Times New Roman" w:hAnsi="Times New Roman" w:cs="Times New Roman"/>
          <w:b/>
          <w:sz w:val="24"/>
        </w:rPr>
        <w:t>ы</w:t>
      </w:r>
    </w:p>
    <w:p w:rsidR="0072000F" w:rsidRPr="0072000F" w:rsidRDefault="0072000F" w:rsidP="0072000F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2000F">
        <w:rPr>
          <w:rFonts w:ascii="Times New Roman" w:hAnsi="Times New Roman" w:cs="Times New Roman"/>
          <w:sz w:val="24"/>
          <w:szCs w:val="24"/>
        </w:rPr>
        <w:t>В АО «ПРЭК» разработана и утверждена приказом Департамента Комитета по регулированию естественных монополий и защите конкуренции Министерства национальной экономики Республики Казахстан по Павлодарской области «Инвестиционная программа на услуги по передаче и распределению электрической энергии на период 2016-2020 годы» с общим объемом инвестиций на сумму 13 366,0 млн. тенге, в том числе на 2019 год – 3126,1 млн. тенге.</w:t>
      </w:r>
      <w:r w:rsidRPr="0072000F">
        <w:rPr>
          <w:rFonts w:ascii="Times New Roman" w:hAnsi="Times New Roman" w:cs="Times New Roman"/>
          <w:strike/>
          <w:sz w:val="24"/>
          <w:szCs w:val="24"/>
        </w:rPr>
        <w:t xml:space="preserve">   </w:t>
      </w:r>
    </w:p>
    <w:p w:rsidR="0072000F" w:rsidRPr="0072000F" w:rsidRDefault="0072000F" w:rsidP="0072000F">
      <w:pPr>
        <w:pStyle w:val="2"/>
        <w:tabs>
          <w:tab w:val="num" w:pos="0"/>
          <w:tab w:val="left" w:pos="900"/>
        </w:tabs>
        <w:ind w:left="0" w:firstLine="709"/>
        <w:rPr>
          <w:szCs w:val="24"/>
        </w:rPr>
      </w:pPr>
      <w:r w:rsidRPr="0072000F">
        <w:rPr>
          <w:szCs w:val="24"/>
        </w:rPr>
        <w:t>Источником выполнения Инвестиционной программы являются собственные средства предприятия, а именно амортизация и прибыль, утвержденные в тарифе.</w:t>
      </w:r>
    </w:p>
    <w:p w:rsidR="0072000F" w:rsidRPr="0072000F" w:rsidRDefault="0072000F" w:rsidP="0072000F">
      <w:pPr>
        <w:pStyle w:val="2"/>
        <w:tabs>
          <w:tab w:val="num" w:pos="0"/>
          <w:tab w:val="left" w:pos="900"/>
        </w:tabs>
        <w:ind w:left="0" w:firstLine="709"/>
        <w:rPr>
          <w:szCs w:val="24"/>
        </w:rPr>
      </w:pPr>
      <w:r w:rsidRPr="0072000F">
        <w:rPr>
          <w:szCs w:val="24"/>
        </w:rPr>
        <w:t xml:space="preserve">Целью и задачей этой Программы является стабилизация энергообеспечения потребителей и создание долговременных условий развития энергетического комплекса региона. Инвестиционная программа составлена с учетом текущего технического состояния оборудования подстанций и электрических сетей, а так же с учетом приоритетов экономического и технического характера, включающих в себя мероприятия, направленные на повышение коэффициента использования задействованных активов. В программу включены мероприятия, направленные на снижение нормативных потерь электрической энергии, увеличение надежности электрооборудования. </w:t>
      </w:r>
    </w:p>
    <w:p w:rsidR="0072000F" w:rsidRPr="0072000F" w:rsidRDefault="0072000F" w:rsidP="00720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00F">
        <w:rPr>
          <w:rFonts w:ascii="Times New Roman" w:hAnsi="Times New Roman" w:cs="Times New Roman"/>
          <w:sz w:val="24"/>
          <w:szCs w:val="24"/>
        </w:rPr>
        <w:t>В течение года проводились работы по следующим разделам Программы:</w:t>
      </w:r>
    </w:p>
    <w:p w:rsidR="0072000F" w:rsidRPr="0072000F" w:rsidRDefault="0072000F" w:rsidP="0072000F">
      <w:pPr>
        <w:numPr>
          <w:ilvl w:val="0"/>
          <w:numId w:val="6"/>
        </w:numPr>
        <w:tabs>
          <w:tab w:val="clear" w:pos="1428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00F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реконструкция, модернизация и техническое перевооружение сетей 35 </w:t>
      </w:r>
      <w:proofErr w:type="spellStart"/>
      <w:r w:rsidRPr="0072000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2000F">
        <w:rPr>
          <w:rFonts w:ascii="Times New Roman" w:hAnsi="Times New Roman" w:cs="Times New Roman"/>
          <w:sz w:val="24"/>
          <w:szCs w:val="24"/>
        </w:rPr>
        <w:t xml:space="preserve"> и выше (ПС «Северная-городская», ПС «Промышленная», ПС «Центральная-городская», ПС «Восточная-городская», ПС «Ермаковская», ПС «Потанино» ПС «</w:t>
      </w:r>
      <w:proofErr w:type="spellStart"/>
      <w:r w:rsidRPr="0072000F">
        <w:rPr>
          <w:rFonts w:ascii="Times New Roman" w:hAnsi="Times New Roman" w:cs="Times New Roman"/>
          <w:sz w:val="24"/>
          <w:szCs w:val="24"/>
        </w:rPr>
        <w:t>Калкаман</w:t>
      </w:r>
      <w:proofErr w:type="spellEnd"/>
      <w:r w:rsidRPr="0072000F">
        <w:rPr>
          <w:rFonts w:ascii="Times New Roman" w:hAnsi="Times New Roman" w:cs="Times New Roman"/>
          <w:sz w:val="24"/>
          <w:szCs w:val="24"/>
        </w:rPr>
        <w:t xml:space="preserve">», воздушные линии электропередачи 35 </w:t>
      </w:r>
      <w:proofErr w:type="spellStart"/>
      <w:r w:rsidRPr="0072000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2000F">
        <w:rPr>
          <w:rFonts w:ascii="Times New Roman" w:hAnsi="Times New Roman" w:cs="Times New Roman"/>
          <w:sz w:val="24"/>
          <w:szCs w:val="24"/>
        </w:rPr>
        <w:t>).</w:t>
      </w:r>
    </w:p>
    <w:p w:rsidR="0072000F" w:rsidRPr="0072000F" w:rsidRDefault="0072000F" w:rsidP="0072000F">
      <w:pPr>
        <w:numPr>
          <w:ilvl w:val="0"/>
          <w:numId w:val="6"/>
        </w:numPr>
        <w:tabs>
          <w:tab w:val="clear" w:pos="1428"/>
          <w:tab w:val="num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00F">
        <w:rPr>
          <w:rFonts w:ascii="Times New Roman" w:hAnsi="Times New Roman" w:cs="Times New Roman"/>
          <w:sz w:val="24"/>
          <w:szCs w:val="24"/>
        </w:rPr>
        <w:t>Создание цифровой корпоративной телекоммуникационной сети;</w:t>
      </w:r>
    </w:p>
    <w:p w:rsidR="0072000F" w:rsidRPr="0072000F" w:rsidRDefault="0072000F" w:rsidP="0072000F">
      <w:pPr>
        <w:numPr>
          <w:ilvl w:val="0"/>
          <w:numId w:val="6"/>
        </w:numPr>
        <w:tabs>
          <w:tab w:val="clear" w:pos="1428"/>
          <w:tab w:val="num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00F">
        <w:rPr>
          <w:rFonts w:ascii="Times New Roman" w:hAnsi="Times New Roman" w:cs="Times New Roman"/>
          <w:sz w:val="24"/>
          <w:szCs w:val="24"/>
        </w:rPr>
        <w:t>Внедрение АСКУЭ бытового потребителя;</w:t>
      </w:r>
    </w:p>
    <w:p w:rsidR="0072000F" w:rsidRPr="0072000F" w:rsidRDefault="0072000F" w:rsidP="0072000F">
      <w:pPr>
        <w:numPr>
          <w:ilvl w:val="0"/>
          <w:numId w:val="6"/>
        </w:numPr>
        <w:tabs>
          <w:tab w:val="clear" w:pos="1428"/>
          <w:tab w:val="num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2000F">
        <w:rPr>
          <w:rFonts w:ascii="Times New Roman" w:hAnsi="Times New Roman" w:cs="Times New Roman"/>
          <w:sz w:val="24"/>
          <w:szCs w:val="24"/>
        </w:rPr>
        <w:t>Реконструкция и развитие производственных зданий и сооружений.</w:t>
      </w:r>
    </w:p>
    <w:p w:rsidR="0072000F" w:rsidRPr="0072000F" w:rsidRDefault="0072000F" w:rsidP="007200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000F">
        <w:rPr>
          <w:rFonts w:ascii="Times New Roman" w:hAnsi="Times New Roman" w:cs="Times New Roman"/>
          <w:sz w:val="24"/>
          <w:szCs w:val="24"/>
        </w:rPr>
        <w:t>Ожидаемое выполнение инвестиций за 2019 год – 2368,6 млн. тенге.</w:t>
      </w:r>
    </w:p>
    <w:p w:rsidR="00F90F9B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0F9B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0F9B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0F9B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0F9B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0F9B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0F9B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0F9B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0F9B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0F9B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0F9B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F90F9B" w:rsidSect="00F90F9B">
          <w:pgSz w:w="11906" w:h="16838"/>
          <w:pgMar w:top="397" w:right="567" w:bottom="397" w:left="1134" w:header="709" w:footer="709" w:gutter="0"/>
          <w:cols w:space="708"/>
          <w:docGrid w:linePitch="360"/>
        </w:sectPr>
      </w:pPr>
    </w:p>
    <w:p w:rsidR="00F90F9B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62975" w:rsidRDefault="00962975" w:rsidP="0096297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A7403">
        <w:rPr>
          <w:rFonts w:ascii="Times New Roman" w:hAnsi="Times New Roman" w:cs="Times New Roman"/>
          <w:b/>
          <w:sz w:val="16"/>
          <w:szCs w:val="16"/>
        </w:rPr>
        <w:t>Информация субъекта естественной монополии о ходе исполнения субъектом инвестиционной программы (проекта)/об исполнении инвестиц</w:t>
      </w:r>
      <w:r w:rsidR="00D704FD">
        <w:rPr>
          <w:rFonts w:ascii="Times New Roman" w:hAnsi="Times New Roman" w:cs="Times New Roman"/>
          <w:b/>
          <w:sz w:val="16"/>
          <w:szCs w:val="16"/>
        </w:rPr>
        <w:t xml:space="preserve">ионной программы (проекта)* за </w:t>
      </w:r>
      <w:r w:rsidRPr="00DA7403">
        <w:rPr>
          <w:rFonts w:ascii="Times New Roman" w:hAnsi="Times New Roman" w:cs="Times New Roman"/>
          <w:b/>
          <w:sz w:val="16"/>
          <w:szCs w:val="16"/>
        </w:rPr>
        <w:t xml:space="preserve">1 полугодие 2019 года </w:t>
      </w:r>
    </w:p>
    <w:p w:rsidR="00962975" w:rsidRDefault="00962975" w:rsidP="0096297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A7403">
        <w:rPr>
          <w:rFonts w:ascii="Times New Roman" w:hAnsi="Times New Roman" w:cs="Times New Roman"/>
          <w:b/>
          <w:sz w:val="16"/>
          <w:szCs w:val="16"/>
        </w:rPr>
        <w:t>АО "Павлодарская Распределительная Электросетевая Компания", передача и распределение электрической энергии</w:t>
      </w:r>
    </w:p>
    <w:p w:rsidR="00962975" w:rsidRPr="00DA7403" w:rsidRDefault="00962975" w:rsidP="0096297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A7403">
        <w:rPr>
          <w:rFonts w:ascii="Times New Roman" w:hAnsi="Times New Roman" w:cs="Times New Roman"/>
          <w:b/>
          <w:sz w:val="16"/>
          <w:szCs w:val="16"/>
        </w:rPr>
        <w:t xml:space="preserve"> Инвестиционная программа утверждена совместным Приказом №25-ОД от 28.02.19г.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A7403">
        <w:rPr>
          <w:rFonts w:ascii="Times New Roman" w:hAnsi="Times New Roman" w:cs="Times New Roman"/>
          <w:b/>
          <w:sz w:val="16"/>
          <w:szCs w:val="16"/>
        </w:rPr>
        <w:t xml:space="preserve">Департамента Комитета по регулированию естественных монополий и защите </w:t>
      </w:r>
      <w:proofErr w:type="gramStart"/>
      <w:r w:rsidRPr="00DA7403">
        <w:rPr>
          <w:rFonts w:ascii="Times New Roman" w:hAnsi="Times New Roman" w:cs="Times New Roman"/>
          <w:b/>
          <w:sz w:val="16"/>
          <w:szCs w:val="16"/>
        </w:rPr>
        <w:t>конкуренции  Министерства</w:t>
      </w:r>
      <w:proofErr w:type="gramEnd"/>
      <w:r w:rsidRPr="00DA7403">
        <w:rPr>
          <w:rFonts w:ascii="Times New Roman" w:hAnsi="Times New Roman" w:cs="Times New Roman"/>
          <w:b/>
          <w:sz w:val="16"/>
          <w:szCs w:val="16"/>
        </w:rPr>
        <w:t xml:space="preserve"> национальной экономики Республики Казахстан по Павлодарской области  и Приказом №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A7403">
        <w:rPr>
          <w:rFonts w:ascii="Times New Roman" w:hAnsi="Times New Roman" w:cs="Times New Roman"/>
          <w:b/>
          <w:sz w:val="16"/>
          <w:szCs w:val="16"/>
        </w:rPr>
        <w:t>975 от 28.02.19г. ГУ "Управление энергетики и жилищно-коммунального хозяйства Павлодарской области</w:t>
      </w:r>
    </w:p>
    <w:tbl>
      <w:tblPr>
        <w:tblW w:w="16155" w:type="dxa"/>
        <w:tblLayout w:type="fixed"/>
        <w:tblLook w:val="04A0" w:firstRow="1" w:lastRow="0" w:firstColumn="1" w:lastColumn="0" w:noHBand="0" w:noVBand="1"/>
      </w:tblPr>
      <w:tblGrid>
        <w:gridCol w:w="554"/>
        <w:gridCol w:w="1993"/>
        <w:gridCol w:w="992"/>
        <w:gridCol w:w="567"/>
        <w:gridCol w:w="709"/>
        <w:gridCol w:w="992"/>
        <w:gridCol w:w="851"/>
        <w:gridCol w:w="992"/>
        <w:gridCol w:w="850"/>
        <w:gridCol w:w="1134"/>
        <w:gridCol w:w="2835"/>
        <w:gridCol w:w="426"/>
        <w:gridCol w:w="425"/>
        <w:gridCol w:w="567"/>
        <w:gridCol w:w="567"/>
        <w:gridCol w:w="425"/>
        <w:gridCol w:w="425"/>
        <w:gridCol w:w="378"/>
        <w:gridCol w:w="473"/>
      </w:tblGrid>
      <w:tr w:rsidR="00962975" w:rsidRPr="00962975" w:rsidTr="00D704FD">
        <w:trPr>
          <w:trHeight w:val="29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6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 реализации инвестиционной программы (проекта) в разрезе источников финансирования,</w:t>
            </w: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тенге</w:t>
            </w:r>
          </w:p>
        </w:tc>
      </w:tr>
      <w:tr w:rsidR="00962975" w:rsidRPr="00962975" w:rsidTr="004E7122">
        <w:trPr>
          <w:trHeight w:val="196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измерения</w:t>
            </w: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</w:t>
            </w: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натуральных</w:t>
            </w: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показателей)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в натуральных показателях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инвестиционной</w:t>
            </w: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программы</w:t>
            </w: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(проекты),</w:t>
            </w: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тенге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</w:t>
            </w:r>
            <w:proofErr w:type="gramEnd"/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Заемные средства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</w:t>
            </w: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Нерегулируемая (иная) деятельность</w:t>
            </w:r>
          </w:p>
        </w:tc>
      </w:tr>
      <w:tr w:rsidR="00962975" w:rsidRPr="00962975" w:rsidTr="004E7122">
        <w:trPr>
          <w:cantSplit/>
          <w:trHeight w:val="113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причины</w:t>
            </w:r>
            <w:proofErr w:type="gramEnd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причины</w:t>
            </w:r>
            <w:proofErr w:type="gramEnd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  <w:proofErr w:type="gramEnd"/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  <w:proofErr w:type="gram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  <w:proofErr w:type="gramEnd"/>
          </w:p>
        </w:tc>
      </w:tr>
      <w:tr w:rsidR="00962975" w:rsidRPr="00962975" w:rsidTr="004E7122">
        <w:trPr>
          <w:trHeight w:val="29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962975" w:rsidRPr="00962975" w:rsidTr="004E7122">
        <w:trPr>
          <w:trHeight w:val="12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Строительство, реконструкция, модернизация и техническое перевооружение сетей 35 </w:t>
            </w:r>
            <w:proofErr w:type="spellStart"/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 выше,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2 535 500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D704FD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98 800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2 535 500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-2 436 700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62975" w:rsidRPr="00962975" w:rsidTr="004E7122">
        <w:trPr>
          <w:trHeight w:val="111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ПС 110/10 </w:t>
            </w:r>
            <w:proofErr w:type="spellStart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"Северная-городская", </w:t>
            </w:r>
            <w:proofErr w:type="spellStart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двухцепной</w:t>
            </w:r>
            <w:proofErr w:type="spellEnd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ВЛ-110 </w:t>
            </w:r>
            <w:proofErr w:type="spellStart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(питающих ПС), 2-х ячеек 110 </w:t>
            </w:r>
            <w:proofErr w:type="spellStart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ПС 220/110кВ "Промышленная"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ед.ПС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697 100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D704FD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92 869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697 100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92 869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-604 231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</w:t>
            </w:r>
            <w:proofErr w:type="gramEnd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ведутся согласно графику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62975" w:rsidRPr="00962975" w:rsidTr="004E7122">
        <w:trPr>
          <w:trHeight w:val="60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Реконструкция оборудования ячеек 110кВ и РЗА на ПС 220/110 </w:t>
            </w:r>
            <w:proofErr w:type="spellStart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"Промышленная"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яч</w:t>
            </w:r>
            <w:proofErr w:type="spellEnd"/>
            <w:proofErr w:type="gramEnd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-398 400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связи со снижением тарифа планируется перенос данного мероприятия на 2021-2022гг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62975" w:rsidRPr="00962975" w:rsidTr="004E7122">
        <w:trPr>
          <w:trHeight w:val="46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Реконструкция ПС 110/10 </w:t>
            </w:r>
            <w:proofErr w:type="spellStart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"Центральная-городская"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ед.ПС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-200 000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62975" w:rsidRPr="00962975" w:rsidTr="004E7122">
        <w:trPr>
          <w:trHeight w:val="3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Реконструкция ПС 110/10 </w:t>
            </w:r>
            <w:proofErr w:type="spellStart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"Ермаковская"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ед.ПС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D704FD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-663 372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</w:t>
            </w:r>
            <w:proofErr w:type="gramEnd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ведутся согласно графику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62975" w:rsidRPr="00962975" w:rsidTr="004E7122">
        <w:trPr>
          <w:trHeight w:val="61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Реконструкция ПС 220/35/10 </w:t>
            </w:r>
            <w:proofErr w:type="spellStart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Калкаман</w:t>
            </w:r>
            <w:proofErr w:type="spellEnd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ед.ПС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-251 300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</w:t>
            </w:r>
            <w:proofErr w:type="gramEnd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планируется во втором полугодии 2018 года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62975" w:rsidRPr="00962975" w:rsidTr="004E7122">
        <w:trPr>
          <w:trHeight w:val="41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Реконструкция воздушных линий </w:t>
            </w:r>
            <w:proofErr w:type="gramStart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электропередачи  35</w:t>
            </w:r>
            <w:proofErr w:type="gramEnd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-110 </w:t>
            </w:r>
            <w:proofErr w:type="spellStart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-319 397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проведена</w:t>
            </w:r>
            <w:proofErr w:type="gramEnd"/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экспертиза ПСД, работы запланированы на 2-е полугодие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62975" w:rsidRPr="00962975" w:rsidTr="004E7122">
        <w:trPr>
          <w:trHeight w:val="69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Создание цифровой корпоративной телекоммуникационной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116 700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D704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-109 634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</w:t>
            </w:r>
            <w:proofErr w:type="gramEnd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планируется во втором полугодии 2018 года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62975" w:rsidRPr="00962975" w:rsidTr="004E7122">
        <w:trPr>
          <w:trHeight w:val="5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Внедрение АСКУЭ бытового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421 700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421 700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-407 200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проведена</w:t>
            </w:r>
            <w:proofErr w:type="gramEnd"/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разработка ПСД, заключаются договора, СМР запланированы на 2-е полугодие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62975" w:rsidRPr="00962975" w:rsidTr="004E7122">
        <w:trPr>
          <w:trHeight w:val="72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Реконструкция и развитие производственных зданий и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D704FD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-48 200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</w:t>
            </w:r>
            <w:proofErr w:type="gramEnd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ведутся согласно графику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62975" w:rsidRPr="00962975" w:rsidTr="004E7122">
        <w:trPr>
          <w:trHeight w:val="41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3 126 100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D704FD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124 366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3 126 100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124 366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-3 001 734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62975" w:rsidRPr="00962975" w:rsidTr="004E7122">
        <w:trPr>
          <w:trHeight w:val="4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мероприятий по ИП 2018 года (перенос на 2019год)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62975" w:rsidRPr="00962975" w:rsidTr="004E7122">
        <w:trPr>
          <w:trHeight w:val="109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Реконструкция ПС 110/10 </w:t>
            </w:r>
            <w:proofErr w:type="spellStart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"Восточная-городская"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ед.ПС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</w:t>
            </w:r>
            <w:proofErr w:type="gramEnd"/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п.26 Правил №194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30.12.14г совместными приказа</w:t>
            </w: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 №25-ОД и №975 от 28.02.2019г утверждена корректировка ИП 2018 г с частичным переносом мероприятий на 2019 год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62975" w:rsidRPr="00962975" w:rsidTr="004E7122">
        <w:trPr>
          <w:trHeight w:val="40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3 126 100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D704FD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175 476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3 126 100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175 476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-2 950 624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204BC1" w:rsidRDefault="00204BC1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6374"/>
        <w:gridCol w:w="1843"/>
        <w:gridCol w:w="2551"/>
        <w:gridCol w:w="1418"/>
        <w:gridCol w:w="1701"/>
        <w:gridCol w:w="1701"/>
      </w:tblGrid>
      <w:tr w:rsidR="00962975" w:rsidRPr="00962975" w:rsidTr="00962975">
        <w:trPr>
          <w:trHeight w:val="120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 эффективности, надежности и качества</w:t>
            </w: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  <w:proofErr w:type="gramEnd"/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года (полугодия), предшествующего отчетному периоду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  <w:proofErr w:type="gramEnd"/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(год)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  <w:proofErr w:type="gramEnd"/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текущего года (полугодия)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достижения показателей эффективности, надежности и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Причины (обоснование) </w:t>
            </w:r>
            <w:proofErr w:type="spellStart"/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недостижения</w:t>
            </w:r>
            <w:proofErr w:type="spellEnd"/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показателей эффективности, надежности и качества</w:t>
            </w:r>
          </w:p>
        </w:tc>
      </w:tr>
      <w:tr w:rsidR="00962975" w:rsidRPr="00962975" w:rsidTr="00962975">
        <w:trPr>
          <w:trHeight w:val="40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Улучшение производственных показателей,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1 136,5 млн.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</w:t>
            </w: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</w:t>
            </w: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078,5млн.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</w:t>
            </w: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Показатели эффективности, надежности и </w:t>
            </w:r>
            <w:proofErr w:type="spellStart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качетва</w:t>
            </w:r>
            <w:proofErr w:type="spellEnd"/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будут определены по итогам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2975" w:rsidRPr="00962975" w:rsidTr="00962975">
        <w:trPr>
          <w:trHeight w:val="47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износа (физического) основных фондов (активов),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60,45%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2975" w:rsidRPr="00962975" w:rsidTr="00962975">
        <w:trPr>
          <w:trHeight w:val="50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потерь, %, по годам реализации в зависимости от утвержденной инвестиционной программы (проекта)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9,54%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8,04%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2975" w:rsidRPr="00962975" w:rsidTr="00962975">
        <w:trPr>
          <w:trHeight w:val="417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аварийности, по годам реализации в зависимости от утвержденной инвестиционной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75" w:rsidRPr="00962975" w:rsidRDefault="00962975" w:rsidP="0096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29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90F9B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0F9B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0F9B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0F9B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0F9B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0F9B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0F9B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0F9B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0F9B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0F9B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0F9B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0F9B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0F9B" w:rsidRDefault="00F90F9B" w:rsidP="00F90F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F90F9B" w:rsidSect="00F90F9B">
          <w:pgSz w:w="16838" w:h="11906" w:orient="landscape"/>
          <w:pgMar w:top="238" w:right="284" w:bottom="244" w:left="397" w:header="709" w:footer="709" w:gutter="0"/>
          <w:cols w:space="708"/>
          <w:docGrid w:linePitch="360"/>
        </w:sectPr>
      </w:pPr>
    </w:p>
    <w:p w:rsidR="00214793" w:rsidRDefault="00214793" w:rsidP="00214793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F52">
        <w:rPr>
          <w:rFonts w:ascii="Times New Roman" w:hAnsi="Times New Roman" w:cs="Times New Roman"/>
          <w:b/>
          <w:sz w:val="24"/>
          <w:szCs w:val="24"/>
        </w:rPr>
        <w:t>О постатейном исполнении утвержденн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863F52">
        <w:rPr>
          <w:rFonts w:ascii="Times New Roman" w:hAnsi="Times New Roman" w:cs="Times New Roman"/>
          <w:b/>
          <w:sz w:val="24"/>
          <w:szCs w:val="24"/>
        </w:rPr>
        <w:t xml:space="preserve"> тарифн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863F52">
        <w:rPr>
          <w:rFonts w:ascii="Times New Roman" w:hAnsi="Times New Roman" w:cs="Times New Roman"/>
          <w:b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63F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00E4" w:rsidRDefault="00214793" w:rsidP="0021479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Тарифная смета на услуги </w:t>
      </w:r>
    </w:p>
    <w:p w:rsidR="007D00E4" w:rsidRDefault="00214793" w:rsidP="0021479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АО «Павлодарская Распределительная Электросетевая Компания» </w:t>
      </w:r>
    </w:p>
    <w:p w:rsidR="007D00E4" w:rsidRDefault="00214793" w:rsidP="0021479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передаче и расп</w:t>
      </w:r>
      <w:r w:rsidR="007D00E4">
        <w:rPr>
          <w:rFonts w:ascii="Times New Roman" w:hAnsi="Times New Roman" w:cs="Times New Roman"/>
          <w:b/>
          <w:sz w:val="24"/>
          <w:szCs w:val="24"/>
        </w:rPr>
        <w:t xml:space="preserve">ределению электрической энергии </w:t>
      </w:r>
    </w:p>
    <w:p w:rsidR="00214793" w:rsidRPr="00372FC8" w:rsidRDefault="00214793" w:rsidP="0021479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первое полугодие 2019 года</w:t>
      </w:r>
    </w:p>
    <w:tbl>
      <w:tblPr>
        <w:tblW w:w="10451" w:type="dxa"/>
        <w:tblLook w:val="04A0" w:firstRow="1" w:lastRow="0" w:firstColumn="1" w:lastColumn="0" w:noHBand="0" w:noVBand="1"/>
      </w:tblPr>
      <w:tblGrid>
        <w:gridCol w:w="936"/>
        <w:gridCol w:w="3170"/>
        <w:gridCol w:w="1413"/>
        <w:gridCol w:w="1888"/>
        <w:gridCol w:w="1579"/>
        <w:gridCol w:w="1602"/>
      </w:tblGrid>
      <w:tr w:rsidR="005B68FA" w:rsidRPr="005B68FA" w:rsidTr="007D00E4">
        <w:trPr>
          <w:trHeight w:val="76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FA" w:rsidRPr="005B68FA" w:rsidRDefault="00717D0B" w:rsidP="0071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Предусмотрено</w:t>
            </w:r>
            <w:r w:rsidR="005B68FA" w:rsidRPr="005B6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утвержденной тарифной </w:t>
            </w:r>
            <w:r w:rsidR="005B68FA" w:rsidRPr="005B6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смет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="005B68FA" w:rsidRPr="005B6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</w:t>
            </w:r>
            <w:r w:rsidR="005B68FA" w:rsidRPr="005B6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Фактически сложившиеся показатели тарифной сметы за 1</w:t>
            </w:r>
            <w:r w:rsidR="00B3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-е</w:t>
            </w:r>
            <w:r w:rsidRPr="005B6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полугодие 2019 года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Отклонение, %</w:t>
            </w:r>
          </w:p>
        </w:tc>
      </w:tr>
      <w:tr w:rsidR="005B68FA" w:rsidRPr="005B68FA" w:rsidTr="007D00E4">
        <w:trPr>
          <w:trHeight w:val="96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B68FA" w:rsidRPr="005B68FA" w:rsidTr="007D00E4">
        <w:trPr>
          <w:trHeight w:val="6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7 354 170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3 553 749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-51,7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68FA" w:rsidRPr="005B68FA" w:rsidTr="007D00E4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Материальные затраты,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251 754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146 293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-41,9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-сырье и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-1,9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-39,4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201 259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98 399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-51,1</w:t>
            </w:r>
          </w:p>
        </w:tc>
      </w:tr>
      <w:tr w:rsidR="005B68FA" w:rsidRPr="005B68FA" w:rsidTr="007D00E4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оплату труда,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2 563 772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1 299 065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-49,3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2 361 835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1 194 853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-49,4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-социальный налог, социальные отчисления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201 937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-48,4</w:t>
            </w:r>
          </w:p>
        </w:tc>
      </w:tr>
      <w:tr w:rsidR="005B68FA" w:rsidRPr="005B68FA" w:rsidTr="007D00E4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пенсионные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-65,9</w:t>
            </w:r>
          </w:p>
        </w:tc>
      </w:tr>
      <w:tr w:rsidR="005B68FA" w:rsidRPr="005B68FA" w:rsidTr="007D00E4">
        <w:trPr>
          <w:trHeight w:val="6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35 428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17 959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-49,3</w:t>
            </w:r>
          </w:p>
        </w:tc>
      </w:tr>
      <w:tr w:rsidR="005B68FA" w:rsidRPr="005B68FA" w:rsidTr="007D00E4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991 131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464 508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-53,1</w:t>
            </w:r>
          </w:p>
        </w:tc>
      </w:tr>
      <w:tr w:rsidR="005B68FA" w:rsidRPr="005B68FA" w:rsidTr="007D00E4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376 553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114 213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-69,7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68FA" w:rsidRPr="005B68FA" w:rsidTr="007D00E4">
        <w:trPr>
          <w:trHeight w:val="6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не приводящий к росту стоимости основных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376 553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-69,7</w:t>
            </w:r>
          </w:p>
        </w:tc>
      </w:tr>
      <w:tr w:rsidR="005B68FA" w:rsidRPr="005B68FA" w:rsidTr="007D00E4">
        <w:trPr>
          <w:trHeight w:val="6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сторонних организаций производственного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993 369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614 100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-38,2</w:t>
            </w:r>
          </w:p>
        </w:tc>
      </w:tr>
      <w:tr w:rsidR="005B68FA" w:rsidRPr="005B68FA" w:rsidTr="007D00E4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затраты,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288 656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137 904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-52,2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-командировки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30 066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16 477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-45,2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-канц. и почтовые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-81,4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23 863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-48,3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-поверка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-71,6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-61,2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-аренда основных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-66,2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-затраты по ОТ и ТБ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-56,0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кадров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-40,2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-охрана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-39,7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-100,0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-затраты по отводу </w:t>
            </w: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участков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27 263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10 649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-60,9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-85,3</w:t>
            </w:r>
          </w:p>
        </w:tc>
      </w:tr>
      <w:tr w:rsidR="005B68FA" w:rsidRPr="005B68FA" w:rsidTr="007D00E4">
        <w:trPr>
          <w:trHeight w:val="6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поддержанию готовности электрической мощности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294 085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147 219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-49,9</w:t>
            </w:r>
          </w:p>
        </w:tc>
      </w:tr>
      <w:tr w:rsidR="005B68FA" w:rsidRPr="005B68FA" w:rsidTr="007D00E4">
        <w:trPr>
          <w:trHeight w:val="9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компенсацию нормативных технических потерь,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1 526 672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600 489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-60,7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нормативные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потери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-14,4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240 424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94 250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-60,8</w:t>
            </w:r>
          </w:p>
        </w:tc>
      </w:tr>
      <w:tr w:rsidR="005B68FA" w:rsidRPr="005B68FA" w:rsidTr="007D00E4">
        <w:trPr>
          <w:trHeight w:val="12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АО "KEGOC" по организации балансирования производства-потребления электроэнергии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21 879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8 294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-62,1</w:t>
            </w:r>
          </w:p>
        </w:tc>
      </w:tr>
      <w:tr w:rsidR="005B68FA" w:rsidRPr="005B68FA" w:rsidTr="007D00E4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периода,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571 622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316 185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-44,7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68FA" w:rsidRPr="005B68FA" w:rsidTr="007D00E4">
        <w:trPr>
          <w:trHeight w:val="6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и административные расходы,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471 188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238 951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-49,3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146 591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66 576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-54,6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-социальный налог, социальные отчисления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-40,7</w:t>
            </w:r>
          </w:p>
        </w:tc>
      </w:tr>
      <w:tr w:rsidR="005B68FA" w:rsidRPr="005B68FA" w:rsidTr="007D00E4">
        <w:trPr>
          <w:trHeight w:val="6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-55,3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-51,2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платежи и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189 075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101 997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-46,1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-17,5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-68,7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-41,7</w:t>
            </w:r>
          </w:p>
        </w:tc>
      </w:tr>
      <w:tr w:rsidR="005B68FA" w:rsidRPr="005B68FA" w:rsidTr="007D00E4">
        <w:trPr>
          <w:trHeight w:val="6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консалтинговых, аудиторских, маркетинговых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-20,1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-51,3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26 180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-51,6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22 989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-47,3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11.12.1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-61,8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почтовые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-64,6</w:t>
            </w:r>
          </w:p>
        </w:tc>
      </w:tr>
      <w:tr w:rsidR="005B68FA" w:rsidRPr="005B68FA" w:rsidTr="007D00E4">
        <w:trPr>
          <w:trHeight w:val="3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5 068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5B68FA" w:rsidRPr="005B68FA" w:rsidTr="007D00E4">
        <w:trPr>
          <w:trHeight w:val="6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выплату вознаграждений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100 434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77 235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-23,1</w:t>
            </w:r>
          </w:p>
        </w:tc>
      </w:tr>
      <w:tr w:rsidR="005B68FA" w:rsidRPr="005B68FA" w:rsidTr="007D00E4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затрат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7 925 792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3 869 935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-51,2</w:t>
            </w:r>
          </w:p>
        </w:tc>
      </w:tr>
      <w:tr w:rsidR="005B68FA" w:rsidRPr="005B68FA" w:rsidTr="007D00E4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1 368 900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450 617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-67,1</w:t>
            </w:r>
          </w:p>
        </w:tc>
      </w:tr>
      <w:tr w:rsidR="005B68FA" w:rsidRPr="005B68FA" w:rsidTr="007D00E4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9 294 692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4 320 552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-53,5</w:t>
            </w:r>
          </w:p>
        </w:tc>
      </w:tr>
      <w:tr w:rsidR="005B68FA" w:rsidRPr="005B68FA" w:rsidTr="007D00E4">
        <w:trPr>
          <w:trHeight w:val="30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оказываемых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2 320 000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1 078 520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-53,5</w:t>
            </w:r>
          </w:p>
        </w:tc>
      </w:tr>
      <w:tr w:rsidR="005B68FA" w:rsidRPr="005B68FA" w:rsidTr="007D00E4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9 294 692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4 320 552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-53,5</w:t>
            </w:r>
          </w:p>
        </w:tc>
      </w:tr>
      <w:tr w:rsidR="005B68FA" w:rsidRPr="005B68FA" w:rsidTr="007D00E4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FA" w:rsidRPr="005B68FA" w:rsidRDefault="005B68FA" w:rsidP="005B6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(без НДС)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тенге</w:t>
            </w:r>
            <w:proofErr w:type="gramEnd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FA" w:rsidRPr="005B68FA" w:rsidRDefault="005B68FA" w:rsidP="005B6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214793" w:rsidRDefault="00214793" w:rsidP="00214793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214793" w:rsidRDefault="00214793" w:rsidP="0021479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 xml:space="preserve">Исполнение тарифной сметы </w:t>
      </w:r>
      <w:r>
        <w:rPr>
          <w:rFonts w:ascii="Times New Roman" w:hAnsi="Times New Roman" w:cs="Times New Roman"/>
          <w:b/>
          <w:sz w:val="24"/>
        </w:rPr>
        <w:t xml:space="preserve">на услуги </w:t>
      </w:r>
      <w:r w:rsidRPr="00863F52">
        <w:rPr>
          <w:rFonts w:ascii="Times New Roman" w:hAnsi="Times New Roman" w:cs="Times New Roman"/>
          <w:b/>
          <w:sz w:val="24"/>
        </w:rPr>
        <w:t>АО «ПРЭК»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63F52">
        <w:rPr>
          <w:rFonts w:ascii="Times New Roman" w:hAnsi="Times New Roman" w:cs="Times New Roman"/>
          <w:b/>
          <w:sz w:val="24"/>
        </w:rPr>
        <w:t>по передаче и распределению электрической энергии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63F52">
        <w:rPr>
          <w:rFonts w:ascii="Times New Roman" w:hAnsi="Times New Roman" w:cs="Times New Roman"/>
          <w:b/>
          <w:sz w:val="24"/>
        </w:rPr>
        <w:t xml:space="preserve">за </w:t>
      </w:r>
      <w:r>
        <w:rPr>
          <w:rFonts w:ascii="Times New Roman" w:hAnsi="Times New Roman" w:cs="Times New Roman"/>
          <w:b/>
          <w:sz w:val="24"/>
        </w:rPr>
        <w:t xml:space="preserve">первое полугодие </w:t>
      </w:r>
      <w:r w:rsidRPr="00863F52">
        <w:rPr>
          <w:rFonts w:ascii="Times New Roman" w:hAnsi="Times New Roman" w:cs="Times New Roman"/>
          <w:b/>
          <w:sz w:val="24"/>
        </w:rPr>
        <w:t>201</w:t>
      </w:r>
      <w:r>
        <w:rPr>
          <w:rFonts w:ascii="Times New Roman" w:hAnsi="Times New Roman" w:cs="Times New Roman"/>
          <w:b/>
          <w:sz w:val="24"/>
        </w:rPr>
        <w:t>9</w:t>
      </w:r>
      <w:r w:rsidRPr="00863F52">
        <w:rPr>
          <w:rFonts w:ascii="Times New Roman" w:hAnsi="Times New Roman" w:cs="Times New Roman"/>
          <w:b/>
          <w:sz w:val="24"/>
        </w:rPr>
        <w:t xml:space="preserve"> год</w:t>
      </w:r>
      <w:r>
        <w:rPr>
          <w:rFonts w:ascii="Times New Roman" w:hAnsi="Times New Roman" w:cs="Times New Roman"/>
          <w:b/>
          <w:sz w:val="24"/>
        </w:rPr>
        <w:t>а</w:t>
      </w:r>
    </w:p>
    <w:p w:rsidR="00214793" w:rsidRPr="00D40FB6" w:rsidRDefault="00214793" w:rsidP="00214793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40FB6">
        <w:rPr>
          <w:rFonts w:ascii="Times New Roman" w:hAnsi="Times New Roman" w:cs="Times New Roman"/>
          <w:sz w:val="24"/>
          <w:szCs w:val="24"/>
        </w:rPr>
        <w:t xml:space="preserve">Доход от передачи и распределения электрической энергии </w:t>
      </w:r>
      <w:r>
        <w:rPr>
          <w:rFonts w:ascii="Times New Roman" w:hAnsi="Times New Roman" w:cs="Times New Roman"/>
          <w:sz w:val="24"/>
          <w:szCs w:val="24"/>
        </w:rPr>
        <w:t xml:space="preserve">за первое полугодие </w:t>
      </w:r>
      <w:r w:rsidRPr="00D40FB6">
        <w:rPr>
          <w:rFonts w:ascii="Times New Roman" w:hAnsi="Times New Roman" w:cs="Times New Roman"/>
          <w:sz w:val="24"/>
          <w:szCs w:val="24"/>
        </w:rPr>
        <w:t xml:space="preserve">составил – </w:t>
      </w:r>
      <w:r>
        <w:rPr>
          <w:rFonts w:ascii="Times New Roman" w:hAnsi="Times New Roman" w:cs="Times New Roman"/>
          <w:sz w:val="24"/>
          <w:szCs w:val="24"/>
        </w:rPr>
        <w:t>4 320 552</w:t>
      </w:r>
      <w:r w:rsidRPr="00D40FB6">
        <w:rPr>
          <w:rFonts w:ascii="Times New Roman" w:hAnsi="Times New Roman" w:cs="Times New Roman"/>
          <w:sz w:val="24"/>
          <w:szCs w:val="24"/>
        </w:rPr>
        <w:t xml:space="preserve"> тыс. тенге. План в утвержденной тарифной смете</w:t>
      </w:r>
      <w:r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Pr="00D40FB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B68F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294</w:t>
      </w:r>
      <w:r w:rsidR="005B6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692</w:t>
      </w:r>
      <w:r w:rsidRPr="00D40FB6">
        <w:rPr>
          <w:rFonts w:ascii="Times New Roman" w:hAnsi="Times New Roman" w:cs="Times New Roman"/>
          <w:sz w:val="24"/>
          <w:szCs w:val="24"/>
        </w:rPr>
        <w:t xml:space="preserve"> тыс. тенге.</w:t>
      </w:r>
    </w:p>
    <w:p w:rsidR="00214793" w:rsidRPr="00D40FB6" w:rsidRDefault="00214793" w:rsidP="00214793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40FB6">
        <w:rPr>
          <w:rFonts w:ascii="Times New Roman" w:hAnsi="Times New Roman" w:cs="Times New Roman"/>
          <w:sz w:val="24"/>
          <w:szCs w:val="24"/>
        </w:rPr>
        <w:t>Затраты на предоставление услуг по передаче и распределению электрической энергии</w:t>
      </w:r>
      <w:r>
        <w:rPr>
          <w:rFonts w:ascii="Times New Roman" w:hAnsi="Times New Roman" w:cs="Times New Roman"/>
          <w:sz w:val="24"/>
          <w:szCs w:val="24"/>
        </w:rPr>
        <w:t xml:space="preserve"> за первое полугодие</w:t>
      </w:r>
      <w:r w:rsidRPr="00D40FB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3 86</w:t>
      </w:r>
      <w:r w:rsidR="007D00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8FA">
        <w:rPr>
          <w:rFonts w:ascii="Times New Roman" w:hAnsi="Times New Roman" w:cs="Times New Roman"/>
          <w:sz w:val="24"/>
          <w:szCs w:val="24"/>
        </w:rPr>
        <w:t>935</w:t>
      </w:r>
      <w:r w:rsidRPr="00D40FB6">
        <w:rPr>
          <w:rFonts w:ascii="Times New Roman" w:hAnsi="Times New Roman" w:cs="Times New Roman"/>
          <w:sz w:val="24"/>
          <w:szCs w:val="24"/>
        </w:rPr>
        <w:t xml:space="preserve"> тыс. тенге. План в утвержденной тарифной смете</w:t>
      </w:r>
      <w:r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Pr="00D40FB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7 925 792</w:t>
      </w:r>
      <w:r w:rsidRPr="00D40FB6">
        <w:rPr>
          <w:rFonts w:ascii="Times New Roman" w:hAnsi="Times New Roman" w:cs="Times New Roman"/>
          <w:sz w:val="24"/>
          <w:szCs w:val="24"/>
        </w:rPr>
        <w:t xml:space="preserve"> тыс. тенге.</w:t>
      </w:r>
    </w:p>
    <w:p w:rsidR="00503A38" w:rsidRPr="00863F52" w:rsidRDefault="00503A38" w:rsidP="005F6586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>Об основных финансово-экономических показателях деятельности субъекта естественной</w:t>
      </w:r>
      <w:r w:rsidR="00FF7C42" w:rsidRPr="00863F52">
        <w:rPr>
          <w:rFonts w:ascii="Times New Roman" w:hAnsi="Times New Roman" w:cs="Times New Roman"/>
          <w:b/>
          <w:sz w:val="24"/>
        </w:rPr>
        <w:t xml:space="preserve"> монополии</w:t>
      </w:r>
    </w:p>
    <w:p w:rsidR="00FF7C42" w:rsidRPr="005F6586" w:rsidRDefault="00FF7C42" w:rsidP="00484FC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5F6586">
        <w:rPr>
          <w:rFonts w:ascii="Times New Roman" w:hAnsi="Times New Roman" w:cs="Times New Roman"/>
          <w:sz w:val="24"/>
        </w:rPr>
        <w:t xml:space="preserve">Основные финансово-экономические показатели </w:t>
      </w:r>
      <w:r w:rsidR="004F4773">
        <w:rPr>
          <w:rFonts w:ascii="Times New Roman" w:hAnsi="Times New Roman" w:cs="Times New Roman"/>
          <w:sz w:val="24"/>
        </w:rPr>
        <w:t>А</w:t>
      </w:r>
      <w:r w:rsidRPr="005F6586">
        <w:rPr>
          <w:rFonts w:ascii="Times New Roman" w:hAnsi="Times New Roman" w:cs="Times New Roman"/>
          <w:sz w:val="24"/>
        </w:rPr>
        <w:t xml:space="preserve">О «Павлодарская Распределительная Электросетевая Компания» за </w:t>
      </w:r>
      <w:r w:rsidR="00214793">
        <w:rPr>
          <w:rFonts w:ascii="Times New Roman" w:hAnsi="Times New Roman" w:cs="Times New Roman"/>
          <w:sz w:val="24"/>
        </w:rPr>
        <w:t xml:space="preserve">первое полугодие </w:t>
      </w:r>
      <w:r w:rsidRPr="005F6586">
        <w:rPr>
          <w:rFonts w:ascii="Times New Roman" w:hAnsi="Times New Roman" w:cs="Times New Roman"/>
          <w:sz w:val="24"/>
        </w:rPr>
        <w:t>201</w:t>
      </w:r>
      <w:r w:rsidR="00214793">
        <w:rPr>
          <w:rFonts w:ascii="Times New Roman" w:hAnsi="Times New Roman" w:cs="Times New Roman"/>
          <w:sz w:val="24"/>
        </w:rPr>
        <w:t>9</w:t>
      </w:r>
      <w:r w:rsidRPr="005F6586">
        <w:rPr>
          <w:rFonts w:ascii="Times New Roman" w:hAnsi="Times New Roman" w:cs="Times New Roman"/>
          <w:sz w:val="24"/>
        </w:rPr>
        <w:t xml:space="preserve"> год</w:t>
      </w:r>
      <w:r w:rsidR="00214793">
        <w:rPr>
          <w:rFonts w:ascii="Times New Roman" w:hAnsi="Times New Roman" w:cs="Times New Roman"/>
          <w:sz w:val="24"/>
        </w:rPr>
        <w:t>а</w:t>
      </w:r>
      <w:r w:rsidR="008053A3">
        <w:rPr>
          <w:rFonts w:ascii="Times New Roman" w:hAnsi="Times New Roman" w:cs="Times New Roman"/>
          <w:sz w:val="24"/>
        </w:rPr>
        <w:t>:</w:t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6540"/>
        <w:gridCol w:w="2680"/>
      </w:tblGrid>
      <w:tr w:rsidR="00FE3B63" w:rsidRPr="00FE3B63" w:rsidTr="00FE3B63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63" w:rsidRPr="00FE3B63" w:rsidRDefault="00FE3B63" w:rsidP="00FE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63" w:rsidRPr="00FE3B63" w:rsidRDefault="00FE3B63" w:rsidP="00FE3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тыс. тенге</w:t>
            </w:r>
          </w:p>
        </w:tc>
      </w:tr>
      <w:tr w:rsidR="00FE3B63" w:rsidRPr="00FE3B63" w:rsidTr="00FE3B6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63" w:rsidRPr="00FE3B63" w:rsidRDefault="00FE3B63" w:rsidP="00FE3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 всего, в </w:t>
            </w:r>
            <w:proofErr w:type="spellStart"/>
            <w:r w:rsidRPr="00FE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E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63" w:rsidRPr="00FE3B63" w:rsidRDefault="00FE3B63" w:rsidP="00FE3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4 617 694</w:t>
            </w:r>
          </w:p>
        </w:tc>
      </w:tr>
      <w:tr w:rsidR="00FE3B63" w:rsidRPr="00FE3B63" w:rsidTr="00FE3B63">
        <w:trPr>
          <w:trHeight w:val="3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63" w:rsidRPr="00FE3B63" w:rsidRDefault="00FE3B63" w:rsidP="00FE3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доход от передачи и распределения электрической энергии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63" w:rsidRPr="00FE3B63" w:rsidRDefault="00FE3B63" w:rsidP="00FE3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4 320 552</w:t>
            </w:r>
          </w:p>
        </w:tc>
      </w:tr>
      <w:tr w:rsidR="00FE3B63" w:rsidRPr="00FE3B63" w:rsidTr="00FE3B63">
        <w:trPr>
          <w:trHeight w:val="3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63" w:rsidRPr="00FE3B63" w:rsidRDefault="00FE3B63" w:rsidP="00FE3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доход прочий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63" w:rsidRPr="00FE3B63" w:rsidRDefault="00FE3B63" w:rsidP="00FE3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297 142</w:t>
            </w:r>
          </w:p>
        </w:tc>
      </w:tr>
      <w:tr w:rsidR="00FE3B63" w:rsidRPr="00FE3B63" w:rsidTr="00FE3B6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63" w:rsidRPr="00FE3B63" w:rsidRDefault="00FE3B63" w:rsidP="00FE3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всего, в </w:t>
            </w:r>
            <w:proofErr w:type="spellStart"/>
            <w:r w:rsidRPr="00FE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E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63" w:rsidRPr="00FE3B63" w:rsidRDefault="00FE3B63" w:rsidP="00FE3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3 821 324</w:t>
            </w:r>
          </w:p>
        </w:tc>
      </w:tr>
      <w:tr w:rsidR="00FE3B63" w:rsidRPr="00FE3B63" w:rsidTr="00FE3B63">
        <w:trPr>
          <w:trHeight w:val="6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63" w:rsidRPr="00FE3B63" w:rsidRDefault="00FE3B63" w:rsidP="00FE3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себестоимость от передачи и распределения электрической энергии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63" w:rsidRPr="00FE3B63" w:rsidRDefault="00FE3B63" w:rsidP="00FE3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3 566 903</w:t>
            </w:r>
          </w:p>
        </w:tc>
      </w:tr>
      <w:tr w:rsidR="00FE3B63" w:rsidRPr="00FE3B63" w:rsidTr="00FE3B63">
        <w:trPr>
          <w:trHeight w:val="3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63" w:rsidRPr="00FE3B63" w:rsidRDefault="00FE3B63" w:rsidP="00FE3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прочие расходы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63" w:rsidRPr="00FE3B63" w:rsidRDefault="00FE3B63" w:rsidP="00FE3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254 420</w:t>
            </w:r>
          </w:p>
        </w:tc>
      </w:tr>
      <w:tr w:rsidR="00FE3B63" w:rsidRPr="00FE3B63" w:rsidTr="00FE3B6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63" w:rsidRPr="00FE3B63" w:rsidRDefault="00FE3B63" w:rsidP="00FE3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63" w:rsidRPr="00FE3B63" w:rsidRDefault="00FE3B63" w:rsidP="00FE3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325 929</w:t>
            </w:r>
          </w:p>
        </w:tc>
      </w:tr>
      <w:tr w:rsidR="00FE3B63" w:rsidRPr="00FE3B63" w:rsidTr="00FE3B63">
        <w:trPr>
          <w:trHeight w:val="3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63" w:rsidRPr="00FE3B63" w:rsidRDefault="00FE3B63" w:rsidP="00FE3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Курсовая разница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63" w:rsidRPr="00FE3B63" w:rsidRDefault="00FE3B63" w:rsidP="00FE3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-24 903</w:t>
            </w:r>
          </w:p>
        </w:tc>
      </w:tr>
      <w:tr w:rsidR="00FE3B63" w:rsidRPr="00FE3B63" w:rsidTr="00FE3B63">
        <w:trPr>
          <w:trHeight w:val="3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63" w:rsidRPr="00FE3B63" w:rsidRDefault="00FE3B63" w:rsidP="00FE3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расходы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63" w:rsidRPr="00FE3B63" w:rsidRDefault="00FE3B63" w:rsidP="00FE3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140 267</w:t>
            </w:r>
          </w:p>
        </w:tc>
      </w:tr>
      <w:tr w:rsidR="00FE3B63" w:rsidRPr="00FE3B63" w:rsidTr="00FE3B63">
        <w:trPr>
          <w:trHeight w:val="3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63" w:rsidRPr="00FE3B63" w:rsidRDefault="00FE3B63" w:rsidP="00FE3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КПН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63" w:rsidRPr="00FE3B63" w:rsidRDefault="00FE3B63" w:rsidP="00FE3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E3B63" w:rsidRPr="00FE3B63" w:rsidTr="00FE3B6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63" w:rsidRPr="00FE3B63" w:rsidRDefault="00FE3B63" w:rsidP="00FE3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Прибыль +, убыток 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B63" w:rsidRPr="00FE3B63" w:rsidRDefault="00FE3B63" w:rsidP="00FE3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355 077</w:t>
            </w:r>
          </w:p>
        </w:tc>
      </w:tr>
    </w:tbl>
    <w:p w:rsidR="00F96279" w:rsidRDefault="00F96279" w:rsidP="00863F52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</w:p>
    <w:p w:rsidR="000C54B8" w:rsidRDefault="000C54B8" w:rsidP="00EF1DBE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 xml:space="preserve">Об объемах предоставленных регулируемых услуг </w:t>
      </w:r>
    </w:p>
    <w:p w:rsidR="005F6586" w:rsidRDefault="005F6586" w:rsidP="00EF1DB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</w:rPr>
      </w:pPr>
      <w:r w:rsidRPr="005F6586">
        <w:rPr>
          <w:rFonts w:ascii="Times New Roman" w:hAnsi="Times New Roman" w:cs="Times New Roman"/>
          <w:sz w:val="24"/>
        </w:rPr>
        <w:t>Объёмы по п</w:t>
      </w:r>
      <w:r w:rsidR="004E2B62" w:rsidRPr="005F6586">
        <w:rPr>
          <w:rFonts w:ascii="Times New Roman" w:hAnsi="Times New Roman" w:cs="Times New Roman"/>
          <w:sz w:val="24"/>
        </w:rPr>
        <w:t>ередач</w:t>
      </w:r>
      <w:r w:rsidRPr="005F6586">
        <w:rPr>
          <w:rFonts w:ascii="Times New Roman" w:hAnsi="Times New Roman" w:cs="Times New Roman"/>
          <w:sz w:val="24"/>
        </w:rPr>
        <w:t>е</w:t>
      </w:r>
      <w:r w:rsidR="004E2B62" w:rsidRPr="005F6586">
        <w:rPr>
          <w:rFonts w:ascii="Times New Roman" w:hAnsi="Times New Roman" w:cs="Times New Roman"/>
          <w:sz w:val="24"/>
        </w:rPr>
        <w:t xml:space="preserve"> и распределени</w:t>
      </w:r>
      <w:r w:rsidRPr="005F6586">
        <w:rPr>
          <w:rFonts w:ascii="Times New Roman" w:hAnsi="Times New Roman" w:cs="Times New Roman"/>
          <w:sz w:val="24"/>
        </w:rPr>
        <w:t>ю</w:t>
      </w:r>
      <w:r w:rsidR="004E2B62" w:rsidRPr="005F6586">
        <w:rPr>
          <w:rFonts w:ascii="Times New Roman" w:hAnsi="Times New Roman" w:cs="Times New Roman"/>
          <w:sz w:val="24"/>
        </w:rPr>
        <w:t xml:space="preserve"> электрической энергии </w:t>
      </w:r>
      <w:r w:rsidR="00BA71DA">
        <w:rPr>
          <w:rFonts w:ascii="Times New Roman" w:hAnsi="Times New Roman" w:cs="Times New Roman"/>
          <w:sz w:val="24"/>
        </w:rPr>
        <w:t xml:space="preserve">по сетям </w:t>
      </w:r>
      <w:r w:rsidR="004E2B62" w:rsidRPr="005F6586">
        <w:rPr>
          <w:rFonts w:ascii="Times New Roman" w:hAnsi="Times New Roman" w:cs="Times New Roman"/>
          <w:sz w:val="24"/>
        </w:rPr>
        <w:t xml:space="preserve">АО «ПРЭК» за </w:t>
      </w:r>
      <w:r w:rsidR="00B351F5">
        <w:rPr>
          <w:rFonts w:ascii="Times New Roman" w:hAnsi="Times New Roman" w:cs="Times New Roman"/>
          <w:sz w:val="24"/>
        </w:rPr>
        <w:t xml:space="preserve">первое </w:t>
      </w:r>
      <w:r w:rsidR="008B6251">
        <w:rPr>
          <w:rFonts w:ascii="Times New Roman" w:hAnsi="Times New Roman" w:cs="Times New Roman"/>
          <w:sz w:val="24"/>
        </w:rPr>
        <w:t xml:space="preserve">полугодие </w:t>
      </w:r>
      <w:r w:rsidR="004E2B62" w:rsidRPr="005F6586">
        <w:rPr>
          <w:rFonts w:ascii="Times New Roman" w:hAnsi="Times New Roman" w:cs="Times New Roman"/>
          <w:sz w:val="24"/>
        </w:rPr>
        <w:t>201</w:t>
      </w:r>
      <w:r w:rsidR="008B6251">
        <w:rPr>
          <w:rFonts w:ascii="Times New Roman" w:hAnsi="Times New Roman" w:cs="Times New Roman"/>
          <w:sz w:val="24"/>
        </w:rPr>
        <w:t>9</w:t>
      </w:r>
      <w:r w:rsidR="004E2B62" w:rsidRPr="005F6586">
        <w:rPr>
          <w:rFonts w:ascii="Times New Roman" w:hAnsi="Times New Roman" w:cs="Times New Roman"/>
          <w:sz w:val="24"/>
        </w:rPr>
        <w:t xml:space="preserve"> год</w:t>
      </w:r>
      <w:r w:rsidR="005A6F7D">
        <w:rPr>
          <w:rFonts w:ascii="Times New Roman" w:hAnsi="Times New Roman" w:cs="Times New Roman"/>
          <w:sz w:val="24"/>
        </w:rPr>
        <w:t>:</w:t>
      </w:r>
    </w:p>
    <w:tbl>
      <w:tblPr>
        <w:tblW w:w="10640" w:type="dxa"/>
        <w:jc w:val="center"/>
        <w:tblLook w:val="04A0" w:firstRow="1" w:lastRow="0" w:firstColumn="1" w:lastColumn="0" w:noHBand="0" w:noVBand="1"/>
      </w:tblPr>
      <w:tblGrid>
        <w:gridCol w:w="3256"/>
        <w:gridCol w:w="1275"/>
        <w:gridCol w:w="1751"/>
        <w:gridCol w:w="1651"/>
        <w:gridCol w:w="1276"/>
        <w:gridCol w:w="1431"/>
      </w:tblGrid>
      <w:tr w:rsidR="00015723" w:rsidRPr="004130E0" w:rsidTr="004130E0">
        <w:trPr>
          <w:trHeight w:val="290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Предусмотрено в утвержденной тарифной смете на 2019 год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 сложившиеся показатели тарифной сметы за 1 полугодие 2019 года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015723" w:rsidRPr="004130E0" w:rsidTr="004130E0">
        <w:trPr>
          <w:trHeight w:val="1530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15723" w:rsidRPr="004130E0" w:rsidTr="004130E0">
        <w:trPr>
          <w:trHeight w:val="6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Передача и распределение электроэнергии, 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2 320 000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1 078 520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-1 241 480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-53,5</w:t>
            </w:r>
          </w:p>
        </w:tc>
      </w:tr>
      <w:tr w:rsidR="00015723" w:rsidRPr="004130E0" w:rsidTr="004130E0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723" w:rsidRPr="004130E0" w:rsidTr="006E0FB5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"ПАВЛОДАРЭНЕРГО"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288 088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-287 589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-99,8</w:t>
            </w:r>
          </w:p>
        </w:tc>
      </w:tr>
      <w:tr w:rsidR="00015723" w:rsidRPr="004130E0" w:rsidTr="006E0FB5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Павлодарэнергосбыт</w:t>
            </w:r>
            <w:proofErr w:type="spellEnd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660 527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-663 473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-50,1</w:t>
            </w:r>
          </w:p>
        </w:tc>
      </w:tr>
      <w:tr w:rsidR="00015723" w:rsidRPr="004130E0" w:rsidTr="006E0FB5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"Павлодарские тепловые сети"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22 235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-22 235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015723" w:rsidRPr="004130E0" w:rsidTr="006E0FB5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"Алюминий Казахстана"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-5 550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-46,4</w:t>
            </w:r>
          </w:p>
        </w:tc>
      </w:tr>
      <w:tr w:rsidR="00015723" w:rsidRPr="004130E0" w:rsidTr="006E0FB5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Экибастузэнерго</w:t>
            </w:r>
            <w:proofErr w:type="spellEnd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-2 353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-61,1</w:t>
            </w:r>
          </w:p>
        </w:tc>
      </w:tr>
      <w:tr w:rsidR="00015723" w:rsidRPr="004130E0" w:rsidTr="006E0FB5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"ЕЭК"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-23 115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-69,2</w:t>
            </w:r>
          </w:p>
        </w:tc>
      </w:tr>
      <w:tr w:rsidR="00015723" w:rsidRPr="004130E0" w:rsidTr="006E0FB5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ФС МЭС "KEGOC"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-51,6</w:t>
            </w:r>
          </w:p>
        </w:tc>
      </w:tr>
      <w:tr w:rsidR="00015723" w:rsidRPr="004130E0" w:rsidTr="006E0FB5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"Каустик"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82 337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-82 337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015723" w:rsidRPr="004130E0" w:rsidTr="006E0FB5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KSPSteel</w:t>
            </w:r>
            <w:proofErr w:type="spellEnd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285 796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-159 632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-55,86</w:t>
            </w:r>
          </w:p>
        </w:tc>
      </w:tr>
      <w:tr w:rsidR="00015723" w:rsidRPr="004130E0" w:rsidTr="006E0FB5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"Павлодарский нефтехимический завод"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-163 116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-60,82</w:t>
            </w:r>
          </w:p>
        </w:tc>
      </w:tr>
      <w:tr w:rsidR="00015723" w:rsidRPr="004130E0" w:rsidTr="004130E0">
        <w:trPr>
          <w:trHeight w:val="3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ЭнергоИмпекс</w:t>
            </w:r>
            <w:proofErr w:type="spellEnd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71 157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723" w:rsidRPr="004130E0" w:rsidTr="004130E0">
        <w:trPr>
          <w:trHeight w:val="3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ТОО Компания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Нефтехим</w:t>
            </w:r>
            <w:proofErr w:type="spellEnd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LTD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723" w:rsidRPr="004130E0" w:rsidTr="004130E0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РГП "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Казводхоз</w:t>
            </w:r>
            <w:proofErr w:type="spellEnd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Филиал "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КиКС</w:t>
            </w:r>
            <w:proofErr w:type="spellEnd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723" w:rsidRPr="004130E0" w:rsidTr="004130E0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Темiржолэнерго</w:t>
            </w:r>
            <w:proofErr w:type="spellEnd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723" w:rsidRPr="004130E0" w:rsidTr="004130E0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"АРЭК-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Энергосбыт</w:t>
            </w:r>
            <w:proofErr w:type="spellEnd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723" w:rsidRPr="004130E0" w:rsidTr="004130E0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"Павлодар-Водоканал"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723" w:rsidRPr="004130E0" w:rsidTr="004130E0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"НК КТЖ"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723" w:rsidRPr="004130E0" w:rsidTr="004130E0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"СЕВКАЗЭНЕРГО"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723" w:rsidRPr="004130E0" w:rsidTr="004130E0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АлтынЭнергоСервис</w:t>
            </w:r>
            <w:proofErr w:type="spellEnd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723" w:rsidRPr="004130E0" w:rsidRDefault="00015723" w:rsidP="00015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87B9E" w:rsidRPr="005F6586" w:rsidRDefault="00C87B9E" w:rsidP="00C87B9E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503A38" w:rsidRPr="00863F52" w:rsidRDefault="004E2B62" w:rsidP="005F6586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>О проводимой работе с потребителями регулируемых услуг</w:t>
      </w:r>
    </w:p>
    <w:p w:rsidR="009E2BE8" w:rsidRPr="009E2BE8" w:rsidRDefault="009E2BE8" w:rsidP="009E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BE8">
        <w:rPr>
          <w:rFonts w:ascii="Times New Roman" w:hAnsi="Times New Roman" w:cs="Times New Roman"/>
          <w:sz w:val="24"/>
          <w:szCs w:val="24"/>
        </w:rPr>
        <w:t xml:space="preserve">Согласно правилам розничного рынка </w:t>
      </w:r>
      <w:proofErr w:type="spellStart"/>
      <w:r w:rsidRPr="009E2BE8">
        <w:rPr>
          <w:rFonts w:ascii="Times New Roman" w:hAnsi="Times New Roman" w:cs="Times New Roman"/>
          <w:sz w:val="24"/>
          <w:szCs w:val="24"/>
        </w:rPr>
        <w:t>энергопередающая</w:t>
      </w:r>
      <w:proofErr w:type="spellEnd"/>
      <w:r w:rsidRPr="009E2BE8">
        <w:rPr>
          <w:rFonts w:ascii="Times New Roman" w:hAnsi="Times New Roman" w:cs="Times New Roman"/>
          <w:sz w:val="24"/>
          <w:szCs w:val="24"/>
        </w:rPr>
        <w:t xml:space="preserve"> организация осуществляет ежемесячное снятие показаний приборов коммерческого учета у всех потребителей электрической энергии, т.е. выполняет функции контроля и учета электроэнергии. </w:t>
      </w:r>
    </w:p>
    <w:p w:rsidR="009E2BE8" w:rsidRPr="009E2BE8" w:rsidRDefault="009E2BE8" w:rsidP="009E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BE8">
        <w:rPr>
          <w:rFonts w:ascii="Times New Roman" w:hAnsi="Times New Roman" w:cs="Times New Roman"/>
          <w:sz w:val="24"/>
          <w:szCs w:val="24"/>
        </w:rPr>
        <w:t>Общее количество потребителей, присоединенных к сетям АО «ПРЭК» составляет 221 309 потребителей, в том числе:</w:t>
      </w:r>
    </w:p>
    <w:p w:rsidR="009E2BE8" w:rsidRPr="009E2BE8" w:rsidRDefault="009E2BE8" w:rsidP="009E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BE8">
        <w:rPr>
          <w:rFonts w:ascii="Times New Roman" w:hAnsi="Times New Roman" w:cs="Times New Roman"/>
          <w:sz w:val="24"/>
          <w:szCs w:val="24"/>
        </w:rPr>
        <w:t>- физические лица – 212 022;</w:t>
      </w:r>
    </w:p>
    <w:p w:rsidR="009E2BE8" w:rsidRPr="009E2BE8" w:rsidRDefault="009E2BE8" w:rsidP="009E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BE8">
        <w:rPr>
          <w:rFonts w:ascii="Times New Roman" w:hAnsi="Times New Roman" w:cs="Times New Roman"/>
          <w:sz w:val="24"/>
          <w:szCs w:val="24"/>
        </w:rPr>
        <w:t xml:space="preserve">- юридические лица – 9 287 потребителей. </w:t>
      </w:r>
    </w:p>
    <w:p w:rsidR="009E2BE8" w:rsidRPr="009E2BE8" w:rsidRDefault="009E2BE8" w:rsidP="009E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BE8">
        <w:rPr>
          <w:rFonts w:ascii="Times New Roman" w:hAnsi="Times New Roman" w:cs="Times New Roman"/>
          <w:sz w:val="24"/>
          <w:szCs w:val="24"/>
        </w:rPr>
        <w:t>В 2019 году проводилась следующая работа с п</w:t>
      </w:r>
      <w:r>
        <w:rPr>
          <w:rFonts w:ascii="Times New Roman" w:hAnsi="Times New Roman" w:cs="Times New Roman"/>
          <w:sz w:val="24"/>
          <w:szCs w:val="24"/>
        </w:rPr>
        <w:t>отребителями регулируемых услуг:</w:t>
      </w:r>
      <w:r w:rsidRPr="009E2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BE8" w:rsidRPr="009E2BE8" w:rsidRDefault="009E2BE8" w:rsidP="009E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BE8">
        <w:rPr>
          <w:rFonts w:ascii="Times New Roman" w:hAnsi="Times New Roman" w:cs="Times New Roman"/>
          <w:sz w:val="24"/>
          <w:szCs w:val="24"/>
        </w:rPr>
        <w:t>Всего за первое полугодие 2019 года в АО «ПРЭК» поступило 239 обращений от потребителей физических и юридических лиц, подключенных к сетям АО «ПРЭК», из них 10 обращений по «Телефону доверия».</w:t>
      </w:r>
    </w:p>
    <w:p w:rsidR="009E2BE8" w:rsidRPr="009E2BE8" w:rsidRDefault="009E2BE8" w:rsidP="009E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BE8">
        <w:rPr>
          <w:rFonts w:ascii="Times New Roman" w:hAnsi="Times New Roman" w:cs="Times New Roman"/>
          <w:sz w:val="24"/>
          <w:szCs w:val="24"/>
        </w:rPr>
        <w:t>В результате проведенного анализа по данным обращениям выявлено, что основ</w:t>
      </w:r>
      <w:r w:rsidR="00C11548">
        <w:rPr>
          <w:rFonts w:ascii="Times New Roman" w:hAnsi="Times New Roman" w:cs="Times New Roman"/>
          <w:sz w:val="24"/>
          <w:szCs w:val="24"/>
        </w:rPr>
        <w:t>ной характер обращений составляе</w:t>
      </w:r>
      <w:r w:rsidRPr="009E2BE8">
        <w:rPr>
          <w:rFonts w:ascii="Times New Roman" w:hAnsi="Times New Roman" w:cs="Times New Roman"/>
          <w:sz w:val="24"/>
          <w:szCs w:val="24"/>
        </w:rPr>
        <w:t xml:space="preserve">т по работе структурных подразделений </w:t>
      </w:r>
      <w:r w:rsidR="00C11548">
        <w:rPr>
          <w:rFonts w:ascii="Times New Roman" w:hAnsi="Times New Roman" w:cs="Times New Roman"/>
          <w:sz w:val="24"/>
          <w:szCs w:val="24"/>
        </w:rPr>
        <w:t>А</w:t>
      </w:r>
      <w:r w:rsidRPr="009E2BE8">
        <w:rPr>
          <w:rFonts w:ascii="Times New Roman" w:hAnsi="Times New Roman" w:cs="Times New Roman"/>
          <w:sz w:val="24"/>
          <w:szCs w:val="24"/>
        </w:rPr>
        <w:t>О «ПРЭК» (обслуживание ПУ, перерыв в электроснабжении, отключение/подключение электроэнергии по заявлению и т.п.):</w:t>
      </w:r>
    </w:p>
    <w:p w:rsidR="009E2BE8" w:rsidRPr="00C11548" w:rsidRDefault="009E2BE8" w:rsidP="00C11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548">
        <w:rPr>
          <w:rFonts w:ascii="Times New Roman" w:hAnsi="Times New Roman" w:cs="Times New Roman"/>
          <w:sz w:val="24"/>
          <w:szCs w:val="24"/>
        </w:rPr>
        <w:t>- по работе структурных подразделений – 106 обращений;</w:t>
      </w:r>
    </w:p>
    <w:p w:rsidR="009E2BE8" w:rsidRPr="00C11548" w:rsidRDefault="009E2BE8" w:rsidP="00C11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548">
        <w:rPr>
          <w:rFonts w:ascii="Times New Roman" w:hAnsi="Times New Roman" w:cs="Times New Roman"/>
          <w:sz w:val="24"/>
          <w:szCs w:val="24"/>
        </w:rPr>
        <w:t>- несогласие с начислением – 76 обращений;</w:t>
      </w:r>
    </w:p>
    <w:p w:rsidR="009E2BE8" w:rsidRPr="00C11548" w:rsidRDefault="009E2BE8" w:rsidP="00C11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548">
        <w:rPr>
          <w:rFonts w:ascii="Times New Roman" w:hAnsi="Times New Roman" w:cs="Times New Roman"/>
          <w:sz w:val="24"/>
          <w:szCs w:val="24"/>
        </w:rPr>
        <w:t>- несогласие с перерасчетами согласно «Правилам пользования электрической энергией» - 55 обращений;</w:t>
      </w:r>
    </w:p>
    <w:p w:rsidR="009E2BE8" w:rsidRPr="00C11548" w:rsidRDefault="009E2BE8" w:rsidP="00C11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548">
        <w:rPr>
          <w:rFonts w:ascii="Times New Roman" w:hAnsi="Times New Roman" w:cs="Times New Roman"/>
          <w:sz w:val="24"/>
          <w:szCs w:val="24"/>
        </w:rPr>
        <w:t>- неверно снятые контрольные показания счетчиков – 2 обращения.</w:t>
      </w:r>
    </w:p>
    <w:p w:rsidR="009E2BE8" w:rsidRPr="00C11548" w:rsidRDefault="009E2BE8" w:rsidP="00C11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548">
        <w:rPr>
          <w:rFonts w:ascii="Times New Roman" w:hAnsi="Times New Roman" w:cs="Times New Roman"/>
          <w:sz w:val="24"/>
          <w:szCs w:val="24"/>
        </w:rPr>
        <w:t xml:space="preserve">Все обращения потребителей рассмотрены, направлены письменные ответы и приняты необходимые меры.  </w:t>
      </w:r>
    </w:p>
    <w:p w:rsidR="009E2BE8" w:rsidRDefault="009E2BE8" w:rsidP="00751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F9B" w:rsidRPr="004D246F" w:rsidRDefault="00F90F9B" w:rsidP="00F90F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46F">
        <w:rPr>
          <w:rFonts w:ascii="Times New Roman" w:hAnsi="Times New Roman"/>
          <w:color w:val="000000"/>
          <w:sz w:val="24"/>
          <w:szCs w:val="24"/>
        </w:rPr>
        <w:t>За отчётный период принято 1096 заявок на оформление технических условий с общей заявленной мощностью 108,5 тыс. кВт. Оформлено 1096 технических условий с мощностью 108,5 тыс. кВт. Три заявки аннулированы по письменным заявлениям от потребителей. Из оформленных технических условий выдано:</w:t>
      </w:r>
    </w:p>
    <w:p w:rsidR="00F90F9B" w:rsidRPr="004D246F" w:rsidRDefault="00F90F9B" w:rsidP="00F90F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46F">
        <w:rPr>
          <w:rFonts w:ascii="Times New Roman" w:hAnsi="Times New Roman"/>
          <w:color w:val="000000"/>
          <w:sz w:val="24"/>
          <w:szCs w:val="24"/>
        </w:rPr>
        <w:t>- на вновь вводимые и реконструируемые объекты 870 шт. с мощностью 84,7 тыс. кВт;</w:t>
      </w:r>
    </w:p>
    <w:p w:rsidR="00F90F9B" w:rsidRPr="004D246F" w:rsidRDefault="00F90F9B" w:rsidP="00F90F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46F">
        <w:rPr>
          <w:rFonts w:ascii="Times New Roman" w:hAnsi="Times New Roman"/>
          <w:color w:val="000000"/>
          <w:sz w:val="24"/>
          <w:szCs w:val="24"/>
        </w:rPr>
        <w:t>- переоформлены с увеличением мощности 99 шт. с мощностью 9,5 тыс. кВт;</w:t>
      </w:r>
    </w:p>
    <w:p w:rsidR="00F90F9B" w:rsidRPr="004D246F" w:rsidRDefault="00F90F9B" w:rsidP="00F90F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46F">
        <w:rPr>
          <w:rFonts w:ascii="Times New Roman" w:hAnsi="Times New Roman"/>
          <w:color w:val="000000"/>
          <w:sz w:val="24"/>
          <w:szCs w:val="24"/>
        </w:rPr>
        <w:t>- с изменением схемы внешнего электроснабжения 122 шт. с мощностью 10,2 тыс. кВт;</w:t>
      </w:r>
    </w:p>
    <w:p w:rsidR="00F90F9B" w:rsidRPr="004D246F" w:rsidRDefault="00F90F9B" w:rsidP="00F90F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46F">
        <w:rPr>
          <w:rFonts w:ascii="Times New Roman" w:hAnsi="Times New Roman"/>
          <w:color w:val="000000"/>
          <w:sz w:val="24"/>
          <w:szCs w:val="24"/>
        </w:rPr>
        <w:t xml:space="preserve">- с изменением категории надёжности 5 шт. с мощностью 4,1 тыс. кВт; </w:t>
      </w:r>
    </w:p>
    <w:p w:rsidR="00F90F9B" w:rsidRDefault="00F90F9B" w:rsidP="00F90F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D246F">
        <w:rPr>
          <w:rFonts w:ascii="Times New Roman" w:hAnsi="Times New Roman"/>
          <w:color w:val="000000"/>
          <w:sz w:val="24"/>
          <w:szCs w:val="24"/>
        </w:rPr>
        <w:t>Одной из серьезных проблем с выдачей ТУ остается загруженность силовых трансформаторов подстанций «Северная-городская», «Южная-городская», «Центральная-городская», «Правобережная», «Ермаковская» «Ермаковская ПТФ», «Моисеевка», «Береговая», «Бобровка», ВЛ-35кВ №51 «</w:t>
      </w:r>
      <w:proofErr w:type="spellStart"/>
      <w:r w:rsidRPr="004D246F">
        <w:rPr>
          <w:rFonts w:ascii="Times New Roman" w:hAnsi="Times New Roman"/>
          <w:color w:val="000000"/>
          <w:sz w:val="24"/>
          <w:szCs w:val="24"/>
        </w:rPr>
        <w:t>Качиры</w:t>
      </w:r>
      <w:proofErr w:type="spellEnd"/>
      <w:r w:rsidRPr="004D246F">
        <w:rPr>
          <w:rFonts w:ascii="Times New Roman" w:hAnsi="Times New Roman"/>
          <w:color w:val="000000"/>
          <w:sz w:val="24"/>
          <w:szCs w:val="24"/>
        </w:rPr>
        <w:t xml:space="preserve"> 2 – </w:t>
      </w:r>
      <w:proofErr w:type="spellStart"/>
      <w:r w:rsidRPr="004D246F">
        <w:rPr>
          <w:rFonts w:ascii="Times New Roman" w:hAnsi="Times New Roman"/>
          <w:color w:val="000000"/>
          <w:sz w:val="24"/>
          <w:szCs w:val="24"/>
        </w:rPr>
        <w:t>Качиры</w:t>
      </w:r>
      <w:proofErr w:type="spellEnd"/>
      <w:r w:rsidRPr="004D246F">
        <w:rPr>
          <w:rFonts w:ascii="Times New Roman" w:hAnsi="Times New Roman"/>
          <w:color w:val="000000"/>
          <w:sz w:val="24"/>
          <w:szCs w:val="24"/>
        </w:rPr>
        <w:t xml:space="preserve"> 1», №58 «Железинка 2 – Моисеевка», №59 «Моисеевка – Бобровка» и Т-30 «Ермак Строительная – Евгеньевка – Путь Ильича» по результатам ежегодных замеров летнего и зимнего максимума нагрузок. Решение о присоединении дополнительных мощностей по данным подстанциям принимается техническим советом АО «ПРЭК», исходя из категории объекта и заявленной мощности.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90F9B" w:rsidRDefault="00F90F9B" w:rsidP="00484FC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10555" w:rsidRPr="002204E5" w:rsidRDefault="00210555" w:rsidP="002204E5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2204E5">
        <w:rPr>
          <w:rFonts w:ascii="Times New Roman" w:hAnsi="Times New Roman" w:cs="Times New Roman"/>
          <w:b/>
          <w:sz w:val="24"/>
        </w:rPr>
        <w:t>О перспективах деятельности (планы развития), в том числе возможных изменениях тарифов на регулируемые услуги</w:t>
      </w:r>
    </w:p>
    <w:p w:rsidR="00A13734" w:rsidRDefault="00210555" w:rsidP="00390C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перспективе плана развития деятельности АО «ПРЭК»:</w:t>
      </w:r>
    </w:p>
    <w:p w:rsidR="00390C96" w:rsidRDefault="00390C96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5F6586">
        <w:rPr>
          <w:rFonts w:ascii="Times New Roman" w:hAnsi="Times New Roman" w:cs="Times New Roman"/>
          <w:sz w:val="24"/>
          <w:szCs w:val="24"/>
        </w:rPr>
        <w:t>обеспечени</w:t>
      </w:r>
      <w:r w:rsidR="004D246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F6586">
        <w:rPr>
          <w:rFonts w:ascii="Times New Roman" w:hAnsi="Times New Roman" w:cs="Times New Roman"/>
          <w:sz w:val="24"/>
          <w:szCs w:val="24"/>
        </w:rPr>
        <w:t xml:space="preserve"> надежного и бесперебойного электроснабжения потребителей</w:t>
      </w:r>
      <w:r w:rsidR="004D246F">
        <w:rPr>
          <w:rFonts w:ascii="Times New Roman" w:hAnsi="Times New Roman" w:cs="Times New Roman"/>
          <w:sz w:val="24"/>
          <w:szCs w:val="24"/>
        </w:rPr>
        <w:t>;</w:t>
      </w:r>
    </w:p>
    <w:p w:rsidR="00210555" w:rsidRPr="00A13734" w:rsidRDefault="00A13734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13734">
        <w:rPr>
          <w:rFonts w:ascii="Times New Roman" w:hAnsi="Times New Roman" w:cs="Times New Roman"/>
          <w:sz w:val="24"/>
        </w:rPr>
        <w:t>модернизация</w:t>
      </w:r>
      <w:proofErr w:type="gramEnd"/>
      <w:r w:rsidRPr="00A13734">
        <w:rPr>
          <w:rFonts w:ascii="Times New Roman" w:hAnsi="Times New Roman" w:cs="Times New Roman"/>
          <w:sz w:val="24"/>
        </w:rPr>
        <w:t xml:space="preserve"> оборудования</w:t>
      </w:r>
      <w:r w:rsidR="00390C96">
        <w:rPr>
          <w:rFonts w:ascii="Times New Roman" w:hAnsi="Times New Roman" w:cs="Times New Roman"/>
          <w:sz w:val="24"/>
        </w:rPr>
        <w:t xml:space="preserve"> </w:t>
      </w:r>
      <w:r w:rsidRPr="00A13734">
        <w:rPr>
          <w:rFonts w:ascii="Times New Roman" w:hAnsi="Times New Roman" w:cs="Times New Roman"/>
          <w:sz w:val="24"/>
        </w:rPr>
        <w:t>с целью повышения технического уровня производства, снижения рисков аварийности;</w:t>
      </w:r>
    </w:p>
    <w:p w:rsidR="00A13734" w:rsidRPr="00A13734" w:rsidRDefault="00A13734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13734">
        <w:rPr>
          <w:rFonts w:ascii="Times New Roman" w:hAnsi="Times New Roman" w:cs="Times New Roman"/>
          <w:sz w:val="24"/>
        </w:rPr>
        <w:t>усиление</w:t>
      </w:r>
      <w:proofErr w:type="gramEnd"/>
      <w:r w:rsidRPr="00A13734">
        <w:rPr>
          <w:rFonts w:ascii="Times New Roman" w:hAnsi="Times New Roman" w:cs="Times New Roman"/>
          <w:sz w:val="24"/>
        </w:rPr>
        <w:t xml:space="preserve"> требований к охране здоровья персонала, промышленной безопасности и снижению травматизма;</w:t>
      </w:r>
    </w:p>
    <w:p w:rsidR="00A13734" w:rsidRPr="00A13734" w:rsidRDefault="00A13734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13734">
        <w:rPr>
          <w:rFonts w:ascii="Times New Roman" w:hAnsi="Times New Roman" w:cs="Times New Roman"/>
          <w:sz w:val="24"/>
        </w:rPr>
        <w:t>обучение</w:t>
      </w:r>
      <w:proofErr w:type="gramEnd"/>
      <w:r w:rsidRPr="00A13734">
        <w:rPr>
          <w:rFonts w:ascii="Times New Roman" w:hAnsi="Times New Roman" w:cs="Times New Roman"/>
          <w:sz w:val="24"/>
        </w:rPr>
        <w:t xml:space="preserve"> персонала с целью повышения профе</w:t>
      </w:r>
      <w:r w:rsidR="004D246F">
        <w:rPr>
          <w:rFonts w:ascii="Times New Roman" w:hAnsi="Times New Roman" w:cs="Times New Roman"/>
          <w:sz w:val="24"/>
        </w:rPr>
        <w:t>ссионального уровня сотрудников.</w:t>
      </w:r>
    </w:p>
    <w:p w:rsidR="004846DF" w:rsidRDefault="004846DF" w:rsidP="002204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2204E5" w:rsidRPr="00FA561B" w:rsidRDefault="002204E5" w:rsidP="002204E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61B">
        <w:rPr>
          <w:rFonts w:ascii="Times New Roman" w:hAnsi="Times New Roman" w:cs="Times New Roman"/>
          <w:sz w:val="24"/>
          <w:szCs w:val="24"/>
        </w:rPr>
        <w:t>Предельный уровень тарифа на услуги АО «ПРЭК» по передаче и распределению электрической энергии утвержден приказом РГУ «Департамент комитета по регулированию естественных монополий и защите конкуренции Министерства национальной экономики Республики Казахстан по Павлодарской области» далее РГУ «</w:t>
      </w:r>
      <w:proofErr w:type="spellStart"/>
      <w:r w:rsidRPr="00FA561B">
        <w:rPr>
          <w:rFonts w:ascii="Times New Roman" w:hAnsi="Times New Roman" w:cs="Times New Roman"/>
          <w:sz w:val="24"/>
          <w:szCs w:val="24"/>
        </w:rPr>
        <w:t>ДК</w:t>
      </w:r>
      <w:r w:rsidR="00FA561B">
        <w:rPr>
          <w:rFonts w:ascii="Times New Roman" w:hAnsi="Times New Roman" w:cs="Times New Roman"/>
          <w:sz w:val="24"/>
          <w:szCs w:val="24"/>
        </w:rPr>
        <w:t>РЕМиЗК</w:t>
      </w:r>
      <w:proofErr w:type="spellEnd"/>
      <w:r w:rsidR="00FA561B">
        <w:rPr>
          <w:rFonts w:ascii="Times New Roman" w:hAnsi="Times New Roman" w:cs="Times New Roman"/>
          <w:sz w:val="24"/>
          <w:szCs w:val="24"/>
        </w:rPr>
        <w:t xml:space="preserve">» от 25 ноября 2015 года </w:t>
      </w:r>
      <w:r w:rsidRPr="00FA561B">
        <w:rPr>
          <w:rFonts w:ascii="Times New Roman" w:hAnsi="Times New Roman" w:cs="Times New Roman"/>
          <w:sz w:val="24"/>
          <w:szCs w:val="24"/>
        </w:rPr>
        <w:t>№ 174-ОД, на период с 2016 по 2020 годы и составля</w:t>
      </w:r>
      <w:r w:rsidR="005C07B1">
        <w:rPr>
          <w:rFonts w:ascii="Times New Roman" w:hAnsi="Times New Roman" w:cs="Times New Roman"/>
          <w:sz w:val="24"/>
          <w:szCs w:val="24"/>
        </w:rPr>
        <w:t>е</w:t>
      </w:r>
      <w:r w:rsidRPr="00FA561B">
        <w:rPr>
          <w:rFonts w:ascii="Times New Roman" w:hAnsi="Times New Roman" w:cs="Times New Roman"/>
          <w:sz w:val="24"/>
          <w:szCs w:val="24"/>
        </w:rPr>
        <w:t>т:</w:t>
      </w:r>
    </w:p>
    <w:p w:rsidR="002204E5" w:rsidRPr="00FA561B" w:rsidRDefault="00C54D4F" w:rsidP="002204E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год - 4,225 тенге/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52DB" w:rsidRPr="009734C4" w:rsidRDefault="009652DB" w:rsidP="009652D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4C4">
        <w:rPr>
          <w:rFonts w:ascii="Times New Roman" w:hAnsi="Times New Roman" w:cs="Times New Roman"/>
          <w:sz w:val="24"/>
          <w:szCs w:val="24"/>
        </w:rPr>
        <w:t>АО «ПРЭК»</w:t>
      </w:r>
      <w:r w:rsidRPr="00FA561B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1-1) пункта 1 статьи 6 Закона Республики Казахстан «О естественных монополиях» и Правилами повышения или снижения тарифов (цен, ставок сборов) или их предельных уровней на предоставляемые услуги (товары, работы), утвержденными приказом </w:t>
      </w:r>
      <w:proofErr w:type="spellStart"/>
      <w:r w:rsidRPr="00FA561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A561B">
        <w:rPr>
          <w:rFonts w:ascii="Times New Roman" w:hAnsi="Times New Roman" w:cs="Times New Roman"/>
          <w:sz w:val="24"/>
          <w:szCs w:val="24"/>
        </w:rPr>
        <w:t xml:space="preserve">. Председателя Агентства Республики Казахстан по регулированию естественных монополий от 19 марта 2005 года № 91-ОД и на основании письма РГУ «Департамента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Павлодарской области» от 20 декабря 2018 года № 2-07/3023, </w:t>
      </w:r>
      <w:r w:rsidRPr="009734C4">
        <w:rPr>
          <w:rFonts w:ascii="Times New Roman" w:hAnsi="Times New Roman" w:cs="Times New Roman"/>
          <w:sz w:val="24"/>
          <w:szCs w:val="24"/>
        </w:rPr>
        <w:t>был снижен предельный уровень тарифа на услуги по передаче и распределению электрической энергии:</w:t>
      </w:r>
    </w:p>
    <w:p w:rsidR="009652DB" w:rsidRPr="009734C4" w:rsidRDefault="009652DB" w:rsidP="009652D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4C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734C4">
        <w:rPr>
          <w:rFonts w:ascii="Times New Roman" w:hAnsi="Times New Roman" w:cs="Times New Roman"/>
          <w:sz w:val="24"/>
          <w:szCs w:val="24"/>
        </w:rPr>
        <w:t xml:space="preserve"> 2019 год с 4,225 до 4</w:t>
      </w:r>
      <w:r w:rsidR="00C54D4F" w:rsidRPr="009734C4">
        <w:rPr>
          <w:rFonts w:ascii="Times New Roman" w:hAnsi="Times New Roman" w:cs="Times New Roman"/>
          <w:sz w:val="24"/>
          <w:szCs w:val="24"/>
        </w:rPr>
        <w:t>,006 тенге/</w:t>
      </w:r>
      <w:proofErr w:type="spellStart"/>
      <w:r w:rsidR="00C54D4F" w:rsidRPr="009734C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C54D4F" w:rsidRPr="009734C4">
        <w:rPr>
          <w:rFonts w:ascii="Times New Roman" w:hAnsi="Times New Roman" w:cs="Times New Roman"/>
          <w:sz w:val="24"/>
          <w:szCs w:val="24"/>
        </w:rPr>
        <w:t xml:space="preserve"> (без учета НДС).</w:t>
      </w:r>
    </w:p>
    <w:p w:rsidR="00A13734" w:rsidRPr="00FA561B" w:rsidRDefault="00A13734" w:rsidP="00863F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A38" w:rsidRPr="00F32752" w:rsidRDefault="00503A38" w:rsidP="00863F5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sectPr w:rsidR="00503A38" w:rsidRPr="00F32752" w:rsidSect="00F90F9B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60216"/>
    <w:multiLevelType w:val="hybridMultilevel"/>
    <w:tmpl w:val="4D948CC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A3523A9"/>
    <w:multiLevelType w:val="hybridMultilevel"/>
    <w:tmpl w:val="8A90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D24D5"/>
    <w:multiLevelType w:val="hybridMultilevel"/>
    <w:tmpl w:val="8D743120"/>
    <w:lvl w:ilvl="0" w:tplc="BFB04E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B2BA2"/>
    <w:multiLevelType w:val="hybridMultilevel"/>
    <w:tmpl w:val="3FAC30BA"/>
    <w:lvl w:ilvl="0" w:tplc="BFB04E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B4D36"/>
    <w:multiLevelType w:val="hybridMultilevel"/>
    <w:tmpl w:val="AF3E4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2336A86"/>
    <w:multiLevelType w:val="hybridMultilevel"/>
    <w:tmpl w:val="DEAE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4D"/>
    <w:rsid w:val="0000102D"/>
    <w:rsid w:val="000024B7"/>
    <w:rsid w:val="00003F0D"/>
    <w:rsid w:val="00011364"/>
    <w:rsid w:val="00015723"/>
    <w:rsid w:val="000424F0"/>
    <w:rsid w:val="00054EE7"/>
    <w:rsid w:val="00065E33"/>
    <w:rsid w:val="000C076E"/>
    <w:rsid w:val="000C54B8"/>
    <w:rsid w:val="00120F13"/>
    <w:rsid w:val="00125E62"/>
    <w:rsid w:val="00144410"/>
    <w:rsid w:val="00170AAC"/>
    <w:rsid w:val="001F7771"/>
    <w:rsid w:val="00204BC1"/>
    <w:rsid w:val="00210555"/>
    <w:rsid w:val="00210895"/>
    <w:rsid w:val="00214793"/>
    <w:rsid w:val="002204E5"/>
    <w:rsid w:val="002642B5"/>
    <w:rsid w:val="00290ED7"/>
    <w:rsid w:val="002A002C"/>
    <w:rsid w:val="002A7BE2"/>
    <w:rsid w:val="002B1145"/>
    <w:rsid w:val="002C2338"/>
    <w:rsid w:val="002E6C91"/>
    <w:rsid w:val="00303F3C"/>
    <w:rsid w:val="00320BFC"/>
    <w:rsid w:val="00362EB6"/>
    <w:rsid w:val="00372FC8"/>
    <w:rsid w:val="00390C96"/>
    <w:rsid w:val="003C2078"/>
    <w:rsid w:val="003F11F3"/>
    <w:rsid w:val="004130E0"/>
    <w:rsid w:val="004140A6"/>
    <w:rsid w:val="00432757"/>
    <w:rsid w:val="0044452E"/>
    <w:rsid w:val="004846DF"/>
    <w:rsid w:val="00484FC8"/>
    <w:rsid w:val="0049703D"/>
    <w:rsid w:val="004A2B6D"/>
    <w:rsid w:val="004C43BF"/>
    <w:rsid w:val="004D246F"/>
    <w:rsid w:val="004D2F7A"/>
    <w:rsid w:val="004D645F"/>
    <w:rsid w:val="004E2B62"/>
    <w:rsid w:val="004E7122"/>
    <w:rsid w:val="004F3B4C"/>
    <w:rsid w:val="004F4773"/>
    <w:rsid w:val="00503A38"/>
    <w:rsid w:val="005045EC"/>
    <w:rsid w:val="00515CA2"/>
    <w:rsid w:val="00536A80"/>
    <w:rsid w:val="005549B2"/>
    <w:rsid w:val="00566B1E"/>
    <w:rsid w:val="005A6F7D"/>
    <w:rsid w:val="005B0561"/>
    <w:rsid w:val="005B68FA"/>
    <w:rsid w:val="005C07B1"/>
    <w:rsid w:val="005C5C4C"/>
    <w:rsid w:val="005F1DD5"/>
    <w:rsid w:val="005F6586"/>
    <w:rsid w:val="006047BD"/>
    <w:rsid w:val="00607F9E"/>
    <w:rsid w:val="0061136D"/>
    <w:rsid w:val="006232C3"/>
    <w:rsid w:val="0062520E"/>
    <w:rsid w:val="00626D3B"/>
    <w:rsid w:val="00651BD7"/>
    <w:rsid w:val="00667193"/>
    <w:rsid w:val="006A71AB"/>
    <w:rsid w:val="006C6FB1"/>
    <w:rsid w:val="006D2C9E"/>
    <w:rsid w:val="006E0FB5"/>
    <w:rsid w:val="006E4D1B"/>
    <w:rsid w:val="006F020E"/>
    <w:rsid w:val="006F5F7E"/>
    <w:rsid w:val="00717D0B"/>
    <w:rsid w:val="0072000F"/>
    <w:rsid w:val="00720273"/>
    <w:rsid w:val="00725F87"/>
    <w:rsid w:val="0073222C"/>
    <w:rsid w:val="007519D8"/>
    <w:rsid w:val="00766640"/>
    <w:rsid w:val="00793786"/>
    <w:rsid w:val="0079396A"/>
    <w:rsid w:val="007A4848"/>
    <w:rsid w:val="007A522B"/>
    <w:rsid w:val="007B40DA"/>
    <w:rsid w:val="007B76BA"/>
    <w:rsid w:val="007D00E4"/>
    <w:rsid w:val="007E73AE"/>
    <w:rsid w:val="0080512E"/>
    <w:rsid w:val="008053A3"/>
    <w:rsid w:val="0081334B"/>
    <w:rsid w:val="00835C12"/>
    <w:rsid w:val="00837200"/>
    <w:rsid w:val="00863F52"/>
    <w:rsid w:val="00866C5C"/>
    <w:rsid w:val="00885B16"/>
    <w:rsid w:val="00894788"/>
    <w:rsid w:val="008B6251"/>
    <w:rsid w:val="008D7C62"/>
    <w:rsid w:val="008E41CC"/>
    <w:rsid w:val="00903325"/>
    <w:rsid w:val="00962975"/>
    <w:rsid w:val="009652DB"/>
    <w:rsid w:val="009734C4"/>
    <w:rsid w:val="00985F4E"/>
    <w:rsid w:val="009B310E"/>
    <w:rsid w:val="009B7B8A"/>
    <w:rsid w:val="009C09CB"/>
    <w:rsid w:val="009E2BE8"/>
    <w:rsid w:val="009F2A07"/>
    <w:rsid w:val="00A025A5"/>
    <w:rsid w:val="00A13734"/>
    <w:rsid w:val="00A554B7"/>
    <w:rsid w:val="00A762EB"/>
    <w:rsid w:val="00AA1D6A"/>
    <w:rsid w:val="00AC49F3"/>
    <w:rsid w:val="00AD05D7"/>
    <w:rsid w:val="00AD3B40"/>
    <w:rsid w:val="00B01100"/>
    <w:rsid w:val="00B22549"/>
    <w:rsid w:val="00B26532"/>
    <w:rsid w:val="00B351F5"/>
    <w:rsid w:val="00B42BCB"/>
    <w:rsid w:val="00B518D7"/>
    <w:rsid w:val="00B52B52"/>
    <w:rsid w:val="00B57CAF"/>
    <w:rsid w:val="00B82CC6"/>
    <w:rsid w:val="00B8465F"/>
    <w:rsid w:val="00BA71DA"/>
    <w:rsid w:val="00BD15BD"/>
    <w:rsid w:val="00BD27D6"/>
    <w:rsid w:val="00BD4C2A"/>
    <w:rsid w:val="00BE1385"/>
    <w:rsid w:val="00BF0389"/>
    <w:rsid w:val="00BF68A2"/>
    <w:rsid w:val="00BF7299"/>
    <w:rsid w:val="00C11548"/>
    <w:rsid w:val="00C13C77"/>
    <w:rsid w:val="00C25C0A"/>
    <w:rsid w:val="00C34015"/>
    <w:rsid w:val="00C52D56"/>
    <w:rsid w:val="00C54D4F"/>
    <w:rsid w:val="00C87B9E"/>
    <w:rsid w:val="00C97C4A"/>
    <w:rsid w:val="00CA032F"/>
    <w:rsid w:val="00CA15E9"/>
    <w:rsid w:val="00CA1B6C"/>
    <w:rsid w:val="00CA6069"/>
    <w:rsid w:val="00CC2E8B"/>
    <w:rsid w:val="00CD6E88"/>
    <w:rsid w:val="00D07BF5"/>
    <w:rsid w:val="00D40FB6"/>
    <w:rsid w:val="00D704FD"/>
    <w:rsid w:val="00D73253"/>
    <w:rsid w:val="00D76C47"/>
    <w:rsid w:val="00D82C75"/>
    <w:rsid w:val="00D84198"/>
    <w:rsid w:val="00D95535"/>
    <w:rsid w:val="00DC221A"/>
    <w:rsid w:val="00DE5798"/>
    <w:rsid w:val="00DF4927"/>
    <w:rsid w:val="00E03D88"/>
    <w:rsid w:val="00E1074D"/>
    <w:rsid w:val="00E51BE6"/>
    <w:rsid w:val="00E75D0C"/>
    <w:rsid w:val="00E86946"/>
    <w:rsid w:val="00E92A18"/>
    <w:rsid w:val="00EA00A0"/>
    <w:rsid w:val="00EA6B59"/>
    <w:rsid w:val="00EB270A"/>
    <w:rsid w:val="00EF1DBE"/>
    <w:rsid w:val="00EF345C"/>
    <w:rsid w:val="00EF6CDC"/>
    <w:rsid w:val="00F32752"/>
    <w:rsid w:val="00F54098"/>
    <w:rsid w:val="00F6428B"/>
    <w:rsid w:val="00F70323"/>
    <w:rsid w:val="00F71945"/>
    <w:rsid w:val="00F74E72"/>
    <w:rsid w:val="00F90F9B"/>
    <w:rsid w:val="00F9125B"/>
    <w:rsid w:val="00F9425C"/>
    <w:rsid w:val="00F96279"/>
    <w:rsid w:val="00FA561B"/>
    <w:rsid w:val="00FC1B10"/>
    <w:rsid w:val="00FC3DBA"/>
    <w:rsid w:val="00FE3B63"/>
    <w:rsid w:val="00FF17AE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EACD8-6404-43C7-8DDA-6B68532C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A38"/>
    <w:pPr>
      <w:ind w:left="720"/>
      <w:contextualSpacing/>
    </w:pPr>
  </w:style>
  <w:style w:type="character" w:customStyle="1" w:styleId="s1">
    <w:name w:val="s1"/>
    <w:rsid w:val="006232C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Indent 2"/>
    <w:basedOn w:val="a"/>
    <w:link w:val="20"/>
    <w:rsid w:val="00390C9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90C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A23D-80AA-4F0A-B734-C6956041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Morozova_A1</dc:creator>
  <cp:lastModifiedBy>Анна Борисовна Морозова</cp:lastModifiedBy>
  <cp:revision>34</cp:revision>
  <cp:lastPrinted>2019-07-22T09:59:00Z</cp:lastPrinted>
  <dcterms:created xsi:type="dcterms:W3CDTF">2019-04-16T03:06:00Z</dcterms:created>
  <dcterms:modified xsi:type="dcterms:W3CDTF">2019-07-22T10:02:00Z</dcterms:modified>
</cp:coreProperties>
</file>