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DF" w:rsidRDefault="00424606" w:rsidP="00243177">
      <w:pPr>
        <w:ind w:firstLine="400"/>
        <w:jc w:val="center"/>
        <w:rPr>
          <w:rStyle w:val="s0"/>
          <w:b/>
          <w:sz w:val="24"/>
          <w:szCs w:val="24"/>
        </w:rPr>
      </w:pPr>
      <w:r w:rsidRPr="004006D1">
        <w:rPr>
          <w:rStyle w:val="s0"/>
          <w:b/>
          <w:sz w:val="24"/>
          <w:szCs w:val="24"/>
        </w:rPr>
        <w:t>Ежегодны</w:t>
      </w:r>
      <w:r w:rsidR="00D5098B" w:rsidRPr="004006D1">
        <w:rPr>
          <w:rStyle w:val="s0"/>
          <w:b/>
          <w:sz w:val="24"/>
          <w:szCs w:val="24"/>
        </w:rPr>
        <w:t>й</w:t>
      </w:r>
      <w:r w:rsidRPr="004006D1">
        <w:rPr>
          <w:rStyle w:val="s0"/>
          <w:b/>
          <w:sz w:val="24"/>
          <w:szCs w:val="24"/>
        </w:rPr>
        <w:t xml:space="preserve"> отчет</w:t>
      </w:r>
      <w:r w:rsidR="004006D1" w:rsidRPr="004006D1">
        <w:rPr>
          <w:rStyle w:val="s0"/>
          <w:b/>
          <w:sz w:val="24"/>
          <w:szCs w:val="24"/>
        </w:rPr>
        <w:t xml:space="preserve"> </w:t>
      </w:r>
      <w:r w:rsidR="004006D1" w:rsidRPr="004006D1">
        <w:rPr>
          <w:rStyle w:val="s0"/>
          <w:b/>
          <w:bCs/>
          <w:sz w:val="24"/>
          <w:szCs w:val="24"/>
        </w:rPr>
        <w:t>о деятельности</w:t>
      </w:r>
      <w:r w:rsidRPr="004006D1">
        <w:rPr>
          <w:rStyle w:val="s0"/>
          <w:b/>
          <w:sz w:val="24"/>
          <w:szCs w:val="24"/>
        </w:rPr>
        <w:t xml:space="preserve"> АО «ПАВЛОДАРЭНЕРГО»</w:t>
      </w:r>
      <w:r w:rsidR="004006D1" w:rsidRPr="004006D1">
        <w:rPr>
          <w:rStyle w:val="s0"/>
          <w:b/>
          <w:sz w:val="24"/>
          <w:szCs w:val="24"/>
        </w:rPr>
        <w:t xml:space="preserve"> </w:t>
      </w:r>
    </w:p>
    <w:p w:rsidR="002A47DF" w:rsidRDefault="004006D1" w:rsidP="00243177">
      <w:pPr>
        <w:ind w:firstLine="400"/>
        <w:jc w:val="center"/>
        <w:rPr>
          <w:rStyle w:val="s0"/>
          <w:b/>
          <w:sz w:val="24"/>
          <w:szCs w:val="24"/>
        </w:rPr>
      </w:pPr>
      <w:r w:rsidRPr="004006D1">
        <w:rPr>
          <w:rStyle w:val="s0"/>
          <w:b/>
          <w:bCs/>
          <w:sz w:val="24"/>
          <w:szCs w:val="24"/>
        </w:rPr>
        <w:t xml:space="preserve">по производству тепловой энергии </w:t>
      </w:r>
      <w:r>
        <w:rPr>
          <w:rStyle w:val="s0"/>
          <w:b/>
          <w:sz w:val="24"/>
          <w:szCs w:val="24"/>
        </w:rPr>
        <w:t>и исполнении инвестиционных программ</w:t>
      </w:r>
      <w:r w:rsidR="00A735EA">
        <w:rPr>
          <w:rStyle w:val="s0"/>
          <w:b/>
          <w:sz w:val="24"/>
          <w:szCs w:val="24"/>
        </w:rPr>
        <w:t xml:space="preserve"> </w:t>
      </w:r>
    </w:p>
    <w:p w:rsidR="00424606" w:rsidRDefault="00A735EA" w:rsidP="00243177">
      <w:pPr>
        <w:ind w:firstLine="400"/>
        <w:jc w:val="center"/>
        <w:rPr>
          <w:rStyle w:val="s0"/>
          <w:b/>
          <w:sz w:val="24"/>
          <w:szCs w:val="24"/>
        </w:rPr>
      </w:pPr>
      <w:r w:rsidRPr="004006D1">
        <w:rPr>
          <w:rStyle w:val="s0"/>
          <w:b/>
          <w:sz w:val="24"/>
          <w:szCs w:val="24"/>
        </w:rPr>
        <w:t>за 2014 год</w:t>
      </w:r>
      <w:r w:rsidR="004006D1">
        <w:rPr>
          <w:rStyle w:val="s0"/>
          <w:b/>
          <w:sz w:val="24"/>
          <w:szCs w:val="24"/>
        </w:rPr>
        <w:t>.</w:t>
      </w:r>
    </w:p>
    <w:p w:rsidR="002A47DF" w:rsidRPr="004006D1" w:rsidRDefault="002A47DF" w:rsidP="00243177">
      <w:pPr>
        <w:ind w:firstLine="400"/>
        <w:jc w:val="center"/>
        <w:rPr>
          <w:rStyle w:val="s0"/>
          <w:b/>
          <w:sz w:val="24"/>
          <w:szCs w:val="24"/>
        </w:rPr>
      </w:pPr>
    </w:p>
    <w:p w:rsidR="004006D1" w:rsidRDefault="004006D1" w:rsidP="00D5098B">
      <w:pPr>
        <w:pStyle w:val="a3"/>
        <w:ind w:left="1060"/>
        <w:jc w:val="both"/>
        <w:rPr>
          <w:sz w:val="24"/>
          <w:szCs w:val="24"/>
        </w:rPr>
      </w:pPr>
      <w:bookmarkStart w:id="0" w:name="OLE_LINK1"/>
      <w:bookmarkStart w:id="1" w:name="OLE_LINK2"/>
    </w:p>
    <w:p w:rsidR="00BE2FB5" w:rsidRPr="003F52BF" w:rsidRDefault="00BE2FB5" w:rsidP="00A5607F">
      <w:pPr>
        <w:ind w:firstLine="709"/>
        <w:jc w:val="both"/>
        <w:rPr>
          <w:sz w:val="24"/>
          <w:szCs w:val="24"/>
        </w:rPr>
      </w:pPr>
      <w:r w:rsidRPr="003F52BF">
        <w:rPr>
          <w:sz w:val="24"/>
          <w:szCs w:val="24"/>
        </w:rPr>
        <w:t>Между АО «ПАВЛОДАРЭНЕРГО» и Министерством энергетики РК было заключено Соглашение об исполнении инвестиционных обязател</w:t>
      </w:r>
      <w:r w:rsidR="00A735EA">
        <w:rPr>
          <w:sz w:val="24"/>
          <w:szCs w:val="24"/>
        </w:rPr>
        <w:t xml:space="preserve">ьств на 2014 год на сумму 8 571 </w:t>
      </w:r>
      <w:r w:rsidRPr="003F52BF">
        <w:rPr>
          <w:sz w:val="24"/>
          <w:szCs w:val="24"/>
        </w:rPr>
        <w:t xml:space="preserve">173 </w:t>
      </w:r>
      <w:proofErr w:type="spellStart"/>
      <w:r w:rsidRPr="003F52BF">
        <w:rPr>
          <w:sz w:val="24"/>
          <w:szCs w:val="24"/>
        </w:rPr>
        <w:t>тыс</w:t>
      </w:r>
      <w:proofErr w:type="gramStart"/>
      <w:r w:rsidRPr="003F52BF">
        <w:rPr>
          <w:sz w:val="24"/>
          <w:szCs w:val="24"/>
        </w:rPr>
        <w:t>.т</w:t>
      </w:r>
      <w:proofErr w:type="gramEnd"/>
      <w:r w:rsidRPr="003F52BF">
        <w:rPr>
          <w:sz w:val="24"/>
          <w:szCs w:val="24"/>
        </w:rPr>
        <w:t>енге</w:t>
      </w:r>
      <w:proofErr w:type="spellEnd"/>
      <w:r w:rsidRPr="003F52BF">
        <w:rPr>
          <w:sz w:val="24"/>
          <w:szCs w:val="24"/>
        </w:rPr>
        <w:t xml:space="preserve">. Данное соглашение предусматривает инвестиционные обязательства, а также уровень предельного тарифа, по которому АО «ПАВЛОДАРЭНЕРГО» имеет право реализовывать электрическую энергию. </w:t>
      </w:r>
      <w:r w:rsidRPr="003F52BF">
        <w:rPr>
          <w:bCs/>
          <w:sz w:val="24"/>
          <w:szCs w:val="24"/>
        </w:rPr>
        <w:t xml:space="preserve">Все запланированные обязательства на 2014 год выполнены в полном объеме, превышение предельного тарифа не допущено. </w:t>
      </w:r>
      <w:r w:rsidR="00A735EA">
        <w:rPr>
          <w:bCs/>
          <w:sz w:val="24"/>
          <w:szCs w:val="24"/>
        </w:rPr>
        <w:t>Это подтверждено, п</w:t>
      </w:r>
      <w:r w:rsidRPr="003F52BF">
        <w:rPr>
          <w:bCs/>
          <w:sz w:val="24"/>
          <w:szCs w:val="24"/>
        </w:rPr>
        <w:t>ротокол</w:t>
      </w:r>
      <w:r w:rsidR="00A735EA">
        <w:rPr>
          <w:bCs/>
          <w:sz w:val="24"/>
          <w:szCs w:val="24"/>
        </w:rPr>
        <w:t>ом</w:t>
      </w:r>
      <w:r w:rsidR="004006D1">
        <w:rPr>
          <w:bCs/>
          <w:sz w:val="24"/>
          <w:szCs w:val="24"/>
        </w:rPr>
        <w:t xml:space="preserve"> заседания </w:t>
      </w:r>
      <w:r w:rsidR="00A735EA">
        <w:rPr>
          <w:bCs/>
          <w:sz w:val="24"/>
          <w:szCs w:val="24"/>
        </w:rPr>
        <w:t xml:space="preserve">Рабочей группы по рассмотрению и принятию отчета об исполнении инвестиционных обязательств </w:t>
      </w:r>
      <w:r w:rsidR="00A735EA" w:rsidRPr="003F52BF">
        <w:rPr>
          <w:sz w:val="24"/>
          <w:szCs w:val="24"/>
        </w:rPr>
        <w:t xml:space="preserve">АО «ПАВЛОДАРЭНЕРГО» </w:t>
      </w:r>
      <w:r w:rsidR="00A735EA">
        <w:rPr>
          <w:sz w:val="24"/>
          <w:szCs w:val="24"/>
        </w:rPr>
        <w:t xml:space="preserve"> за 2014 год от 09.04.15г.</w:t>
      </w:r>
    </w:p>
    <w:p w:rsidR="007E0ADA" w:rsidRPr="003F52BF" w:rsidRDefault="007E0ADA" w:rsidP="00A5607F">
      <w:pPr>
        <w:ind w:firstLine="709"/>
        <w:jc w:val="both"/>
        <w:rPr>
          <w:sz w:val="24"/>
          <w:szCs w:val="24"/>
        </w:rPr>
      </w:pPr>
      <w:r w:rsidRPr="003F52BF">
        <w:rPr>
          <w:sz w:val="24"/>
          <w:szCs w:val="24"/>
        </w:rPr>
        <w:t xml:space="preserve">В совместном приказе </w:t>
      </w:r>
      <w:r w:rsidRPr="003F52BF">
        <w:rPr>
          <w:bCs/>
          <w:sz w:val="24"/>
          <w:szCs w:val="24"/>
        </w:rPr>
        <w:t>Министерства индустр</w:t>
      </w:r>
      <w:bookmarkStart w:id="2" w:name="_GoBack"/>
      <w:bookmarkEnd w:id="2"/>
      <w:r w:rsidRPr="003F52BF">
        <w:rPr>
          <w:bCs/>
          <w:sz w:val="24"/>
          <w:szCs w:val="24"/>
        </w:rPr>
        <w:t>ии и новых технологий и Департамента Агентства Республики Казахстан по регулированию естественных монополий по Павлодарской области № 305 от 01.10.2013 года</w:t>
      </w:r>
      <w:r w:rsidR="00920F89" w:rsidRPr="003F52BF">
        <w:rPr>
          <w:bCs/>
          <w:sz w:val="24"/>
          <w:szCs w:val="24"/>
        </w:rPr>
        <w:t xml:space="preserve"> </w:t>
      </w:r>
      <w:r w:rsidRPr="003F52BF">
        <w:rPr>
          <w:bCs/>
          <w:sz w:val="24"/>
          <w:szCs w:val="24"/>
        </w:rPr>
        <w:t xml:space="preserve">приняты инвестиционные </w:t>
      </w:r>
      <w:r w:rsidR="00E66E4A" w:rsidRPr="003F52BF">
        <w:rPr>
          <w:bCs/>
          <w:sz w:val="24"/>
          <w:szCs w:val="24"/>
        </w:rPr>
        <w:t>мероприятия</w:t>
      </w:r>
      <w:r w:rsidRPr="003F52BF">
        <w:rPr>
          <w:bCs/>
          <w:sz w:val="24"/>
          <w:szCs w:val="24"/>
        </w:rPr>
        <w:t xml:space="preserve"> на сумму 604 008 </w:t>
      </w:r>
      <w:proofErr w:type="spellStart"/>
      <w:r w:rsidRPr="003F52BF">
        <w:rPr>
          <w:bCs/>
          <w:sz w:val="24"/>
          <w:szCs w:val="24"/>
        </w:rPr>
        <w:t>тыс</w:t>
      </w:r>
      <w:proofErr w:type="gramStart"/>
      <w:r w:rsidRPr="003F52BF">
        <w:rPr>
          <w:bCs/>
          <w:sz w:val="24"/>
          <w:szCs w:val="24"/>
        </w:rPr>
        <w:t>.т</w:t>
      </w:r>
      <w:proofErr w:type="gramEnd"/>
      <w:r w:rsidRPr="003F52BF">
        <w:rPr>
          <w:bCs/>
          <w:sz w:val="24"/>
          <w:szCs w:val="24"/>
        </w:rPr>
        <w:t>енге</w:t>
      </w:r>
      <w:proofErr w:type="spellEnd"/>
      <w:r w:rsidRPr="003F52BF">
        <w:rPr>
          <w:bCs/>
          <w:sz w:val="24"/>
          <w:szCs w:val="24"/>
        </w:rPr>
        <w:t xml:space="preserve">. </w:t>
      </w:r>
      <w:r w:rsidR="00E66E4A" w:rsidRPr="003F52BF">
        <w:rPr>
          <w:bCs/>
          <w:sz w:val="24"/>
          <w:szCs w:val="24"/>
        </w:rPr>
        <w:t>Фактическое исполнение составило</w:t>
      </w:r>
      <w:r w:rsidR="00920F89" w:rsidRPr="003F52BF">
        <w:rPr>
          <w:bCs/>
          <w:sz w:val="24"/>
          <w:szCs w:val="24"/>
        </w:rPr>
        <w:t xml:space="preserve"> 604 </w:t>
      </w:r>
      <w:r w:rsidR="00A96E49">
        <w:rPr>
          <w:bCs/>
          <w:sz w:val="24"/>
          <w:szCs w:val="24"/>
        </w:rPr>
        <w:t>115</w:t>
      </w:r>
      <w:r w:rsidR="00920F89" w:rsidRPr="003F52BF">
        <w:rPr>
          <w:bCs/>
          <w:sz w:val="24"/>
          <w:szCs w:val="24"/>
        </w:rPr>
        <w:t xml:space="preserve"> </w:t>
      </w:r>
      <w:proofErr w:type="spellStart"/>
      <w:r w:rsidR="00920F89" w:rsidRPr="003F52BF">
        <w:rPr>
          <w:bCs/>
          <w:sz w:val="24"/>
          <w:szCs w:val="24"/>
        </w:rPr>
        <w:t>тыс</w:t>
      </w:r>
      <w:proofErr w:type="gramStart"/>
      <w:r w:rsidR="00920F89" w:rsidRPr="003F52BF">
        <w:rPr>
          <w:bCs/>
          <w:sz w:val="24"/>
          <w:szCs w:val="24"/>
        </w:rPr>
        <w:t>.т</w:t>
      </w:r>
      <w:proofErr w:type="gramEnd"/>
      <w:r w:rsidR="00920F89" w:rsidRPr="003F52BF">
        <w:rPr>
          <w:bCs/>
          <w:sz w:val="24"/>
          <w:szCs w:val="24"/>
        </w:rPr>
        <w:t>енге</w:t>
      </w:r>
      <w:proofErr w:type="spellEnd"/>
      <w:r w:rsidR="00920F89" w:rsidRPr="003F52BF">
        <w:rPr>
          <w:bCs/>
          <w:sz w:val="24"/>
          <w:szCs w:val="24"/>
        </w:rPr>
        <w:t>.</w:t>
      </w:r>
      <w:r w:rsidR="00E66E4A" w:rsidRPr="003F52BF">
        <w:rPr>
          <w:bCs/>
          <w:sz w:val="24"/>
          <w:szCs w:val="24"/>
        </w:rPr>
        <w:t xml:space="preserve"> </w:t>
      </w:r>
      <w:r w:rsidRPr="003F52BF">
        <w:rPr>
          <w:sz w:val="24"/>
          <w:szCs w:val="24"/>
        </w:rPr>
        <w:t xml:space="preserve">Выполнение </w:t>
      </w:r>
      <w:r w:rsidR="00920F89" w:rsidRPr="003F52BF">
        <w:rPr>
          <w:sz w:val="24"/>
          <w:szCs w:val="24"/>
        </w:rPr>
        <w:t xml:space="preserve">данной </w:t>
      </w:r>
      <w:r w:rsidRPr="003F52BF">
        <w:rPr>
          <w:sz w:val="24"/>
          <w:szCs w:val="24"/>
        </w:rPr>
        <w:t>инвестиционн</w:t>
      </w:r>
      <w:r w:rsidR="00920F89" w:rsidRPr="003F52BF">
        <w:rPr>
          <w:sz w:val="24"/>
          <w:szCs w:val="24"/>
        </w:rPr>
        <w:t>ой</w:t>
      </w:r>
      <w:r w:rsidRPr="003F52BF">
        <w:rPr>
          <w:sz w:val="24"/>
          <w:szCs w:val="24"/>
        </w:rPr>
        <w:t xml:space="preserve"> </w:t>
      </w:r>
      <w:r w:rsidR="00920F89" w:rsidRPr="003F52BF">
        <w:rPr>
          <w:sz w:val="24"/>
          <w:szCs w:val="24"/>
        </w:rPr>
        <w:t>программы</w:t>
      </w:r>
      <w:r w:rsidRPr="003F52BF">
        <w:rPr>
          <w:sz w:val="24"/>
          <w:szCs w:val="24"/>
        </w:rPr>
        <w:t xml:space="preserve"> позволило создать резерв по тепловой мощности, повысить надежность и экономичность работы оборудования станций.</w:t>
      </w:r>
    </w:p>
    <w:bookmarkEnd w:id="0"/>
    <w:bookmarkEnd w:id="1"/>
    <w:p w:rsidR="00D5098B" w:rsidRPr="00D5098B" w:rsidRDefault="00D5098B" w:rsidP="00D5098B">
      <w:pPr>
        <w:ind w:left="400"/>
        <w:jc w:val="both"/>
        <w:rPr>
          <w:rStyle w:val="s0"/>
          <w:sz w:val="24"/>
          <w:szCs w:val="24"/>
          <w:highlight w:val="yellow"/>
        </w:rPr>
      </w:pPr>
    </w:p>
    <w:p w:rsidR="00243177" w:rsidRPr="003F52BF" w:rsidRDefault="00315777" w:rsidP="00A5607F">
      <w:pPr>
        <w:ind w:firstLine="709"/>
        <w:rPr>
          <w:sz w:val="24"/>
          <w:szCs w:val="24"/>
        </w:rPr>
      </w:pPr>
      <w:r w:rsidRPr="003F52BF">
        <w:rPr>
          <w:rStyle w:val="s0"/>
          <w:sz w:val="24"/>
          <w:szCs w:val="24"/>
        </w:rPr>
        <w:t>Основные финансово-экономические показатели по АО «ПАВЛОДАРЭНЕРГО» за 2014 г</w:t>
      </w:r>
      <w:r w:rsidR="00D5098B">
        <w:rPr>
          <w:rStyle w:val="s0"/>
          <w:sz w:val="24"/>
          <w:szCs w:val="24"/>
        </w:rPr>
        <w:t>од</w:t>
      </w:r>
      <w:r w:rsidRPr="003F52BF">
        <w:rPr>
          <w:rStyle w:val="s0"/>
          <w:sz w:val="24"/>
          <w:szCs w:val="24"/>
        </w:rPr>
        <w:t>.</w:t>
      </w:r>
    </w:p>
    <w:tbl>
      <w:tblPr>
        <w:tblW w:w="6440" w:type="dxa"/>
        <w:jc w:val="center"/>
        <w:tblInd w:w="93" w:type="dxa"/>
        <w:tblLook w:val="04A0" w:firstRow="1" w:lastRow="0" w:firstColumn="1" w:lastColumn="0" w:noHBand="0" w:noVBand="1"/>
      </w:tblPr>
      <w:tblGrid>
        <w:gridCol w:w="5020"/>
        <w:gridCol w:w="1420"/>
      </w:tblGrid>
      <w:tr w:rsidR="00315777" w:rsidRPr="003F52BF" w:rsidTr="003F52BF">
        <w:trPr>
          <w:trHeight w:val="705"/>
          <w:jc w:val="center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77" w:rsidRPr="003F52BF" w:rsidRDefault="00315777" w:rsidP="0031577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2B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77" w:rsidRPr="003F52BF" w:rsidRDefault="00315777" w:rsidP="003F52BF">
            <w:pPr>
              <w:jc w:val="center"/>
              <w:rPr>
                <w:b/>
                <w:bCs/>
                <w:sz w:val="24"/>
                <w:szCs w:val="24"/>
              </w:rPr>
            </w:pPr>
            <w:r w:rsidRPr="003F52BF">
              <w:rPr>
                <w:b/>
                <w:bCs/>
                <w:sz w:val="24"/>
                <w:szCs w:val="24"/>
              </w:rPr>
              <w:t>Сумма</w:t>
            </w:r>
            <w:r w:rsidRPr="003F52BF">
              <w:rPr>
                <w:b/>
                <w:bCs/>
                <w:sz w:val="24"/>
                <w:szCs w:val="24"/>
              </w:rPr>
              <w:br/>
              <w:t xml:space="preserve"> тыс. тенге</w:t>
            </w:r>
          </w:p>
        </w:tc>
      </w:tr>
      <w:tr w:rsidR="00315777" w:rsidRPr="003F52BF" w:rsidTr="00315777">
        <w:trPr>
          <w:trHeight w:val="285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777" w:rsidRPr="003F52BF" w:rsidRDefault="00315777" w:rsidP="00315777">
            <w:pPr>
              <w:rPr>
                <w:b/>
                <w:bCs/>
                <w:sz w:val="24"/>
                <w:szCs w:val="24"/>
              </w:rPr>
            </w:pPr>
            <w:r w:rsidRPr="003F52BF">
              <w:rPr>
                <w:b/>
                <w:bCs/>
                <w:sz w:val="24"/>
                <w:szCs w:val="24"/>
              </w:rPr>
              <w:t xml:space="preserve">Доход всего, в </w:t>
            </w:r>
            <w:proofErr w:type="spellStart"/>
            <w:r w:rsidRPr="003F52BF">
              <w:rPr>
                <w:b/>
                <w:bCs/>
                <w:sz w:val="24"/>
                <w:szCs w:val="24"/>
              </w:rPr>
              <w:t>т.ч</w:t>
            </w:r>
            <w:proofErr w:type="spellEnd"/>
            <w:r w:rsidRPr="003F52BF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777" w:rsidRPr="003F52BF" w:rsidRDefault="00315777" w:rsidP="00315777">
            <w:pPr>
              <w:jc w:val="right"/>
              <w:rPr>
                <w:b/>
                <w:bCs/>
                <w:sz w:val="24"/>
                <w:szCs w:val="24"/>
              </w:rPr>
            </w:pPr>
            <w:r w:rsidRPr="003F52BF">
              <w:rPr>
                <w:b/>
                <w:bCs/>
                <w:sz w:val="24"/>
                <w:szCs w:val="24"/>
              </w:rPr>
              <w:t>29 145 096</w:t>
            </w:r>
          </w:p>
        </w:tc>
      </w:tr>
      <w:tr w:rsidR="00315777" w:rsidRPr="003F52BF" w:rsidTr="00315777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777" w:rsidRPr="003F52BF" w:rsidRDefault="00315777" w:rsidP="00315777">
            <w:pPr>
              <w:rPr>
                <w:sz w:val="24"/>
                <w:szCs w:val="24"/>
              </w:rPr>
            </w:pPr>
            <w:r w:rsidRPr="003F52BF">
              <w:rPr>
                <w:sz w:val="24"/>
                <w:szCs w:val="24"/>
              </w:rPr>
              <w:t xml:space="preserve"> - Доход от реализац</w:t>
            </w:r>
            <w:proofErr w:type="gramStart"/>
            <w:r w:rsidRPr="003F52BF">
              <w:rPr>
                <w:sz w:val="24"/>
                <w:szCs w:val="24"/>
              </w:rPr>
              <w:t>ии э/э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777" w:rsidRPr="003F52BF" w:rsidRDefault="00315777" w:rsidP="00315777">
            <w:pPr>
              <w:jc w:val="right"/>
              <w:rPr>
                <w:sz w:val="24"/>
                <w:szCs w:val="24"/>
              </w:rPr>
            </w:pPr>
            <w:r w:rsidRPr="003F52BF">
              <w:rPr>
                <w:sz w:val="24"/>
                <w:szCs w:val="24"/>
              </w:rPr>
              <w:t>21 539 080</w:t>
            </w:r>
          </w:p>
        </w:tc>
      </w:tr>
      <w:tr w:rsidR="00315777" w:rsidRPr="003F52BF" w:rsidTr="00315777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777" w:rsidRPr="003F52BF" w:rsidRDefault="00315777" w:rsidP="00315777">
            <w:pPr>
              <w:rPr>
                <w:sz w:val="24"/>
                <w:szCs w:val="24"/>
              </w:rPr>
            </w:pPr>
            <w:r w:rsidRPr="003F52BF">
              <w:rPr>
                <w:sz w:val="24"/>
                <w:szCs w:val="24"/>
              </w:rPr>
              <w:t xml:space="preserve"> - Доход от реализации т/э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777" w:rsidRPr="003F52BF" w:rsidRDefault="00315777" w:rsidP="00315777">
            <w:pPr>
              <w:jc w:val="right"/>
              <w:rPr>
                <w:sz w:val="24"/>
                <w:szCs w:val="24"/>
              </w:rPr>
            </w:pPr>
            <w:r w:rsidRPr="003F52BF">
              <w:rPr>
                <w:sz w:val="24"/>
                <w:szCs w:val="24"/>
              </w:rPr>
              <w:t>7 604 437</w:t>
            </w:r>
          </w:p>
        </w:tc>
      </w:tr>
      <w:tr w:rsidR="00315777" w:rsidRPr="003F52BF" w:rsidTr="00315777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777" w:rsidRPr="003F52BF" w:rsidRDefault="00315777" w:rsidP="00315777">
            <w:pPr>
              <w:rPr>
                <w:sz w:val="24"/>
                <w:szCs w:val="24"/>
              </w:rPr>
            </w:pPr>
            <w:r w:rsidRPr="003F52BF">
              <w:rPr>
                <w:sz w:val="24"/>
                <w:szCs w:val="24"/>
              </w:rPr>
              <w:t xml:space="preserve"> - От прочей реализации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777" w:rsidRPr="003F52BF" w:rsidRDefault="00315777" w:rsidP="00315777">
            <w:pPr>
              <w:jc w:val="right"/>
              <w:rPr>
                <w:sz w:val="24"/>
                <w:szCs w:val="24"/>
              </w:rPr>
            </w:pPr>
            <w:r w:rsidRPr="003F52BF">
              <w:rPr>
                <w:sz w:val="24"/>
                <w:szCs w:val="24"/>
              </w:rPr>
              <w:t>1 580</w:t>
            </w:r>
          </w:p>
        </w:tc>
      </w:tr>
      <w:tr w:rsidR="00315777" w:rsidRPr="003F52BF" w:rsidTr="00315777">
        <w:trPr>
          <w:trHeight w:val="285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777" w:rsidRPr="003F52BF" w:rsidRDefault="00315777" w:rsidP="00315777">
            <w:pPr>
              <w:rPr>
                <w:b/>
                <w:bCs/>
                <w:sz w:val="24"/>
                <w:szCs w:val="24"/>
              </w:rPr>
            </w:pPr>
            <w:r w:rsidRPr="003F52BF">
              <w:rPr>
                <w:b/>
                <w:bCs/>
                <w:sz w:val="24"/>
                <w:szCs w:val="24"/>
              </w:rPr>
              <w:t xml:space="preserve">Себестоимость товарной продукции, в </w:t>
            </w:r>
            <w:proofErr w:type="spellStart"/>
            <w:r w:rsidRPr="003F52BF">
              <w:rPr>
                <w:b/>
                <w:bCs/>
                <w:sz w:val="24"/>
                <w:szCs w:val="24"/>
              </w:rPr>
              <w:t>т.ч</w:t>
            </w:r>
            <w:proofErr w:type="spellEnd"/>
            <w:r w:rsidRPr="003F52BF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777" w:rsidRPr="003F52BF" w:rsidRDefault="00315777" w:rsidP="00315777">
            <w:pPr>
              <w:jc w:val="right"/>
              <w:rPr>
                <w:b/>
                <w:bCs/>
                <w:sz w:val="24"/>
                <w:szCs w:val="24"/>
              </w:rPr>
            </w:pPr>
            <w:r w:rsidRPr="003F52BF">
              <w:rPr>
                <w:b/>
                <w:bCs/>
                <w:sz w:val="24"/>
                <w:szCs w:val="24"/>
              </w:rPr>
              <w:t>19 017 852</w:t>
            </w:r>
          </w:p>
        </w:tc>
      </w:tr>
      <w:tr w:rsidR="00315777" w:rsidRPr="003F52BF" w:rsidTr="00315777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777" w:rsidRPr="003F52BF" w:rsidRDefault="00315777" w:rsidP="00315777">
            <w:pPr>
              <w:rPr>
                <w:sz w:val="24"/>
                <w:szCs w:val="24"/>
              </w:rPr>
            </w:pPr>
            <w:r w:rsidRPr="003F52BF">
              <w:rPr>
                <w:sz w:val="24"/>
                <w:szCs w:val="24"/>
              </w:rPr>
              <w:t xml:space="preserve"> - по электроэнергии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777" w:rsidRPr="003F52BF" w:rsidRDefault="00315777" w:rsidP="00315777">
            <w:pPr>
              <w:jc w:val="right"/>
              <w:rPr>
                <w:sz w:val="24"/>
                <w:szCs w:val="24"/>
              </w:rPr>
            </w:pPr>
            <w:r w:rsidRPr="003F52BF">
              <w:rPr>
                <w:sz w:val="24"/>
                <w:szCs w:val="24"/>
              </w:rPr>
              <w:t>11 317 762</w:t>
            </w:r>
          </w:p>
        </w:tc>
      </w:tr>
      <w:tr w:rsidR="00315777" w:rsidRPr="003F52BF" w:rsidTr="00315777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777" w:rsidRPr="003F52BF" w:rsidRDefault="00315777" w:rsidP="00315777">
            <w:pPr>
              <w:rPr>
                <w:sz w:val="24"/>
                <w:szCs w:val="24"/>
              </w:rPr>
            </w:pPr>
            <w:r w:rsidRPr="003F52BF">
              <w:rPr>
                <w:sz w:val="24"/>
                <w:szCs w:val="24"/>
              </w:rPr>
              <w:t xml:space="preserve"> - по </w:t>
            </w:r>
            <w:proofErr w:type="spellStart"/>
            <w:r w:rsidRPr="003F52BF">
              <w:rPr>
                <w:sz w:val="24"/>
                <w:szCs w:val="24"/>
              </w:rPr>
              <w:t>теплоэнергии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777" w:rsidRPr="003F52BF" w:rsidRDefault="00315777" w:rsidP="00315777">
            <w:pPr>
              <w:jc w:val="right"/>
              <w:rPr>
                <w:sz w:val="24"/>
                <w:szCs w:val="24"/>
              </w:rPr>
            </w:pPr>
            <w:r w:rsidRPr="003F52BF">
              <w:rPr>
                <w:sz w:val="24"/>
                <w:szCs w:val="24"/>
              </w:rPr>
              <w:t>7 698 511</w:t>
            </w:r>
          </w:p>
        </w:tc>
      </w:tr>
      <w:tr w:rsidR="00315777" w:rsidRPr="003F52BF" w:rsidTr="00315777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777" w:rsidRPr="003F52BF" w:rsidRDefault="00315777" w:rsidP="00315777">
            <w:pPr>
              <w:rPr>
                <w:sz w:val="24"/>
                <w:szCs w:val="24"/>
              </w:rPr>
            </w:pPr>
            <w:r w:rsidRPr="003F52BF">
              <w:rPr>
                <w:sz w:val="24"/>
                <w:szCs w:val="24"/>
              </w:rPr>
              <w:t xml:space="preserve"> - прочей продукции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777" w:rsidRPr="003F52BF" w:rsidRDefault="00315777" w:rsidP="00315777">
            <w:pPr>
              <w:jc w:val="right"/>
              <w:rPr>
                <w:sz w:val="24"/>
                <w:szCs w:val="24"/>
              </w:rPr>
            </w:pPr>
            <w:r w:rsidRPr="003F52BF">
              <w:rPr>
                <w:sz w:val="24"/>
                <w:szCs w:val="24"/>
              </w:rPr>
              <w:t>1 580</w:t>
            </w:r>
          </w:p>
        </w:tc>
      </w:tr>
      <w:tr w:rsidR="00315777" w:rsidRPr="003F52BF" w:rsidTr="00315777">
        <w:trPr>
          <w:trHeight w:val="285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777" w:rsidRPr="003F52BF" w:rsidRDefault="00315777" w:rsidP="00315777">
            <w:pPr>
              <w:rPr>
                <w:b/>
                <w:bCs/>
                <w:sz w:val="24"/>
                <w:szCs w:val="24"/>
              </w:rPr>
            </w:pPr>
            <w:r w:rsidRPr="003F52BF">
              <w:rPr>
                <w:b/>
                <w:bCs/>
                <w:sz w:val="24"/>
                <w:szCs w:val="24"/>
              </w:rPr>
              <w:t>Административные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777" w:rsidRPr="003F52BF" w:rsidRDefault="00315777" w:rsidP="00315777">
            <w:pPr>
              <w:jc w:val="right"/>
              <w:rPr>
                <w:b/>
                <w:bCs/>
                <w:sz w:val="24"/>
                <w:szCs w:val="24"/>
              </w:rPr>
            </w:pPr>
            <w:r w:rsidRPr="003F52BF">
              <w:rPr>
                <w:b/>
                <w:bCs/>
                <w:sz w:val="24"/>
                <w:szCs w:val="24"/>
              </w:rPr>
              <w:t>1 464 354</w:t>
            </w:r>
          </w:p>
        </w:tc>
      </w:tr>
      <w:tr w:rsidR="00315777" w:rsidRPr="003F52BF" w:rsidTr="00315777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777" w:rsidRPr="003F52BF" w:rsidRDefault="00315777" w:rsidP="00315777">
            <w:pPr>
              <w:rPr>
                <w:sz w:val="24"/>
                <w:szCs w:val="24"/>
              </w:rPr>
            </w:pPr>
            <w:r w:rsidRPr="003F52BF">
              <w:rPr>
                <w:sz w:val="24"/>
                <w:szCs w:val="24"/>
              </w:rPr>
              <w:t>Курсовая разница (убыток)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777" w:rsidRPr="003F52BF" w:rsidRDefault="00315777" w:rsidP="00315777">
            <w:pPr>
              <w:jc w:val="right"/>
              <w:rPr>
                <w:sz w:val="24"/>
                <w:szCs w:val="24"/>
              </w:rPr>
            </w:pPr>
            <w:r w:rsidRPr="003F52BF">
              <w:rPr>
                <w:sz w:val="24"/>
                <w:szCs w:val="24"/>
              </w:rPr>
              <w:t>-724 919</w:t>
            </w:r>
          </w:p>
        </w:tc>
      </w:tr>
      <w:tr w:rsidR="00315777" w:rsidRPr="003F52BF" w:rsidTr="00315777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777" w:rsidRPr="003F52BF" w:rsidRDefault="00315777" w:rsidP="00315777">
            <w:pPr>
              <w:rPr>
                <w:sz w:val="24"/>
                <w:szCs w:val="24"/>
              </w:rPr>
            </w:pPr>
            <w:r w:rsidRPr="003F52BF">
              <w:rPr>
                <w:sz w:val="24"/>
                <w:szCs w:val="24"/>
              </w:rPr>
              <w:t xml:space="preserve">Расходы по обесценению активов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777" w:rsidRPr="003F52BF" w:rsidRDefault="00315777" w:rsidP="00315777">
            <w:pPr>
              <w:jc w:val="right"/>
              <w:rPr>
                <w:sz w:val="24"/>
                <w:szCs w:val="24"/>
              </w:rPr>
            </w:pPr>
            <w:r w:rsidRPr="003F52BF">
              <w:rPr>
                <w:sz w:val="24"/>
                <w:szCs w:val="24"/>
              </w:rPr>
              <w:t>86 216</w:t>
            </w:r>
          </w:p>
        </w:tc>
      </w:tr>
      <w:tr w:rsidR="00315777" w:rsidRPr="003F52BF" w:rsidTr="00315777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777" w:rsidRPr="003F52BF" w:rsidRDefault="00315777" w:rsidP="00315777">
            <w:pPr>
              <w:rPr>
                <w:sz w:val="24"/>
                <w:szCs w:val="24"/>
              </w:rPr>
            </w:pPr>
            <w:r w:rsidRPr="003F52BF">
              <w:rPr>
                <w:sz w:val="24"/>
                <w:szCs w:val="24"/>
              </w:rPr>
              <w:t>Результат от неосновной деятельности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777" w:rsidRPr="003F52BF" w:rsidRDefault="00315777" w:rsidP="00315777">
            <w:pPr>
              <w:jc w:val="right"/>
              <w:rPr>
                <w:sz w:val="24"/>
                <w:szCs w:val="24"/>
              </w:rPr>
            </w:pPr>
            <w:r w:rsidRPr="003F52BF">
              <w:rPr>
                <w:sz w:val="24"/>
                <w:szCs w:val="24"/>
              </w:rPr>
              <w:t>-50 885</w:t>
            </w:r>
          </w:p>
        </w:tc>
      </w:tr>
      <w:tr w:rsidR="00315777" w:rsidRPr="003F52BF" w:rsidTr="00315777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777" w:rsidRPr="003F52BF" w:rsidRDefault="00315777" w:rsidP="00315777">
            <w:pPr>
              <w:rPr>
                <w:sz w:val="24"/>
                <w:szCs w:val="24"/>
              </w:rPr>
            </w:pPr>
            <w:r w:rsidRPr="003F52BF">
              <w:rPr>
                <w:sz w:val="24"/>
                <w:szCs w:val="24"/>
              </w:rPr>
              <w:t>Расходы по КПН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777" w:rsidRPr="003F52BF" w:rsidRDefault="00315777" w:rsidP="00315777">
            <w:pPr>
              <w:jc w:val="right"/>
              <w:rPr>
                <w:sz w:val="24"/>
                <w:szCs w:val="24"/>
              </w:rPr>
            </w:pPr>
            <w:r w:rsidRPr="003F52BF">
              <w:rPr>
                <w:sz w:val="24"/>
                <w:szCs w:val="24"/>
              </w:rPr>
              <w:t>1 429 849</w:t>
            </w:r>
          </w:p>
        </w:tc>
      </w:tr>
      <w:tr w:rsidR="00315777" w:rsidRPr="003F52BF" w:rsidTr="00315777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777" w:rsidRPr="003F52BF" w:rsidRDefault="00315777" w:rsidP="00315777">
            <w:pPr>
              <w:rPr>
                <w:b/>
                <w:bCs/>
                <w:sz w:val="24"/>
                <w:szCs w:val="24"/>
              </w:rPr>
            </w:pPr>
            <w:r w:rsidRPr="003F52BF">
              <w:rPr>
                <w:b/>
                <w:bCs/>
                <w:sz w:val="24"/>
                <w:szCs w:val="24"/>
              </w:rPr>
              <w:t>Прибыль +,  убыток 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777" w:rsidRPr="003F52BF" w:rsidRDefault="00315777" w:rsidP="00315777">
            <w:pPr>
              <w:jc w:val="right"/>
              <w:rPr>
                <w:b/>
                <w:bCs/>
                <w:sz w:val="24"/>
                <w:szCs w:val="24"/>
              </w:rPr>
            </w:pPr>
            <w:r w:rsidRPr="003F52BF">
              <w:rPr>
                <w:b/>
                <w:bCs/>
                <w:sz w:val="24"/>
                <w:szCs w:val="24"/>
              </w:rPr>
              <w:t>6 371 021</w:t>
            </w:r>
          </w:p>
        </w:tc>
      </w:tr>
    </w:tbl>
    <w:p w:rsidR="00243177" w:rsidRDefault="00243177" w:rsidP="00243177">
      <w:pPr>
        <w:jc w:val="both"/>
        <w:rPr>
          <w:sz w:val="24"/>
          <w:szCs w:val="24"/>
        </w:rPr>
      </w:pPr>
    </w:p>
    <w:p w:rsidR="002A47DF" w:rsidRDefault="002A47DF" w:rsidP="00243177">
      <w:pPr>
        <w:jc w:val="both"/>
        <w:rPr>
          <w:sz w:val="24"/>
          <w:szCs w:val="24"/>
        </w:rPr>
      </w:pPr>
    </w:p>
    <w:p w:rsidR="002A47DF" w:rsidRDefault="002A47DF" w:rsidP="00243177">
      <w:pPr>
        <w:jc w:val="both"/>
        <w:rPr>
          <w:sz w:val="24"/>
          <w:szCs w:val="24"/>
        </w:rPr>
      </w:pPr>
    </w:p>
    <w:p w:rsidR="002A47DF" w:rsidRDefault="002A47DF" w:rsidP="00243177">
      <w:pPr>
        <w:jc w:val="both"/>
        <w:rPr>
          <w:sz w:val="24"/>
          <w:szCs w:val="24"/>
        </w:rPr>
      </w:pPr>
    </w:p>
    <w:p w:rsidR="002A47DF" w:rsidRDefault="002A47DF" w:rsidP="00243177">
      <w:pPr>
        <w:jc w:val="both"/>
        <w:rPr>
          <w:sz w:val="24"/>
          <w:szCs w:val="24"/>
        </w:rPr>
      </w:pPr>
    </w:p>
    <w:p w:rsidR="002A47DF" w:rsidRDefault="002A47DF" w:rsidP="00243177">
      <w:pPr>
        <w:jc w:val="both"/>
        <w:rPr>
          <w:sz w:val="24"/>
          <w:szCs w:val="24"/>
        </w:rPr>
      </w:pPr>
    </w:p>
    <w:p w:rsidR="002A47DF" w:rsidRDefault="002A47DF" w:rsidP="00243177">
      <w:pPr>
        <w:jc w:val="both"/>
        <w:rPr>
          <w:sz w:val="24"/>
          <w:szCs w:val="24"/>
        </w:rPr>
      </w:pPr>
    </w:p>
    <w:p w:rsidR="002A47DF" w:rsidRDefault="002A47DF" w:rsidP="00243177">
      <w:pPr>
        <w:jc w:val="both"/>
        <w:rPr>
          <w:sz w:val="24"/>
          <w:szCs w:val="24"/>
        </w:rPr>
      </w:pPr>
    </w:p>
    <w:p w:rsidR="002A47DF" w:rsidRDefault="002A47DF" w:rsidP="00243177">
      <w:pPr>
        <w:jc w:val="both"/>
        <w:rPr>
          <w:sz w:val="24"/>
          <w:szCs w:val="24"/>
        </w:rPr>
      </w:pPr>
    </w:p>
    <w:p w:rsidR="002A47DF" w:rsidRDefault="002A47DF" w:rsidP="00243177">
      <w:pPr>
        <w:jc w:val="both"/>
        <w:rPr>
          <w:sz w:val="24"/>
          <w:szCs w:val="24"/>
        </w:rPr>
      </w:pPr>
    </w:p>
    <w:p w:rsidR="002A47DF" w:rsidRDefault="002A47DF" w:rsidP="00243177">
      <w:pPr>
        <w:jc w:val="both"/>
        <w:rPr>
          <w:sz w:val="24"/>
          <w:szCs w:val="24"/>
        </w:rPr>
      </w:pPr>
    </w:p>
    <w:p w:rsidR="0026369B" w:rsidRPr="00D5098B" w:rsidRDefault="001232FA" w:rsidP="00A5607F">
      <w:pPr>
        <w:ind w:firstLine="709"/>
        <w:jc w:val="both"/>
        <w:rPr>
          <w:rStyle w:val="s0"/>
          <w:sz w:val="24"/>
          <w:szCs w:val="24"/>
        </w:rPr>
      </w:pPr>
      <w:r w:rsidRPr="00D5098B">
        <w:rPr>
          <w:rStyle w:val="s0"/>
          <w:sz w:val="24"/>
          <w:szCs w:val="24"/>
        </w:rPr>
        <w:lastRenderedPageBreak/>
        <w:t>Реализация тепловой энергии по АО "ПАВЛОДАРЭНЕРГО" за 2014 год</w:t>
      </w:r>
    </w:p>
    <w:tbl>
      <w:tblPr>
        <w:tblW w:w="9128" w:type="dxa"/>
        <w:jc w:val="center"/>
        <w:tblInd w:w="103" w:type="dxa"/>
        <w:tblLook w:val="04A0" w:firstRow="1" w:lastRow="0" w:firstColumn="1" w:lastColumn="0" w:noHBand="0" w:noVBand="1"/>
      </w:tblPr>
      <w:tblGrid>
        <w:gridCol w:w="2840"/>
        <w:gridCol w:w="1261"/>
        <w:gridCol w:w="1701"/>
        <w:gridCol w:w="1701"/>
        <w:gridCol w:w="757"/>
        <w:gridCol w:w="868"/>
      </w:tblGrid>
      <w:tr w:rsidR="00BE2FB5" w:rsidRPr="003F52BF" w:rsidTr="00315777">
        <w:trPr>
          <w:trHeight w:val="735"/>
          <w:jc w:val="center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BE2FB5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Наименование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D4" w:rsidRDefault="00BE2FB5" w:rsidP="00BE2FB5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Ед.</w:t>
            </w:r>
          </w:p>
          <w:p w:rsidR="00BE2FB5" w:rsidRPr="003F52BF" w:rsidRDefault="00BE2FB5" w:rsidP="00BE2FB5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изм.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BE2FB5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Предусмотрено в утвержденной тарифной смете на 2014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BE2FB5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 xml:space="preserve">Фактически сложившиеся показатели тарифной сметы за 2014г. 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FB5" w:rsidRPr="003F52BF" w:rsidRDefault="00BE2FB5" w:rsidP="00BE2FB5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отклонение</w:t>
            </w:r>
          </w:p>
        </w:tc>
      </w:tr>
      <w:tr w:rsidR="00BE2FB5" w:rsidRPr="003F52BF" w:rsidTr="001C39D4">
        <w:trPr>
          <w:trHeight w:val="407"/>
          <w:jc w:val="center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B5" w:rsidRPr="003F52BF" w:rsidRDefault="00BE2FB5" w:rsidP="00BE2FB5">
            <w:pPr>
              <w:rPr>
                <w:b/>
                <w:bCs/>
                <w:color w:val="auto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B5" w:rsidRPr="003F52BF" w:rsidRDefault="00BE2FB5" w:rsidP="00BE2FB5">
            <w:pPr>
              <w:rPr>
                <w:b/>
                <w:bCs/>
                <w:color w:val="auto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B5" w:rsidRPr="003F52BF" w:rsidRDefault="00BE2FB5" w:rsidP="00BE2FB5">
            <w:pPr>
              <w:rPr>
                <w:b/>
                <w:bCs/>
                <w:color w:val="auto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B5" w:rsidRPr="003F52BF" w:rsidRDefault="00BE2FB5" w:rsidP="00BE2FB5">
            <w:pPr>
              <w:rPr>
                <w:b/>
                <w:bCs/>
                <w:color w:val="auto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BE2FB5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тыс. тенге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BE2FB5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%</w:t>
            </w:r>
          </w:p>
        </w:tc>
      </w:tr>
      <w:tr w:rsidR="00BE2FB5" w:rsidRPr="003F52BF" w:rsidTr="001C39D4">
        <w:trPr>
          <w:trHeight w:val="387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315777" w:rsidP="00315777">
            <w:pPr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АО "ПАВЛОДАРЭНЕРГО",</w:t>
            </w:r>
            <w:r w:rsidR="00BE2FB5" w:rsidRPr="003F52BF">
              <w:rPr>
                <w:b/>
                <w:bCs/>
                <w:color w:val="auto"/>
              </w:rPr>
              <w:t xml:space="preserve"> в том числе: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315777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тыс. Гкал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BE2FB5">
            <w:pPr>
              <w:jc w:val="right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4 988,456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BE2FB5">
            <w:pPr>
              <w:jc w:val="right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4 659,702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BE2FB5">
            <w:pPr>
              <w:jc w:val="right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-329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BE2FB5">
            <w:pPr>
              <w:jc w:val="right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-7%</w:t>
            </w:r>
          </w:p>
        </w:tc>
      </w:tr>
      <w:tr w:rsidR="00BE2FB5" w:rsidRPr="003F52BF" w:rsidTr="00315777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BE2FB5">
            <w:pPr>
              <w:rPr>
                <w:color w:val="auto"/>
              </w:rPr>
            </w:pPr>
            <w:r w:rsidRPr="003F52BF">
              <w:rPr>
                <w:color w:val="auto"/>
              </w:rPr>
              <w:t xml:space="preserve">Пар 16 </w:t>
            </w:r>
            <w:proofErr w:type="spellStart"/>
            <w:r w:rsidRPr="003F52BF">
              <w:rPr>
                <w:color w:val="auto"/>
              </w:rPr>
              <w:t>ата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315777">
            <w:pPr>
              <w:jc w:val="center"/>
              <w:rPr>
                <w:color w:val="auto"/>
              </w:rPr>
            </w:pPr>
            <w:r w:rsidRPr="003F52BF">
              <w:rPr>
                <w:color w:val="auto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BE2FB5">
            <w:pPr>
              <w:jc w:val="right"/>
              <w:rPr>
                <w:color w:val="auto"/>
              </w:rPr>
            </w:pPr>
            <w:r w:rsidRPr="003F52BF">
              <w:rPr>
                <w:color w:val="auto"/>
              </w:rPr>
              <w:t>890,008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BE2FB5">
            <w:pPr>
              <w:jc w:val="right"/>
              <w:rPr>
                <w:color w:val="auto"/>
              </w:rPr>
            </w:pPr>
            <w:r w:rsidRPr="003F52BF">
              <w:rPr>
                <w:color w:val="auto"/>
              </w:rPr>
              <w:t>609,633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BE2FB5">
            <w:pPr>
              <w:jc w:val="right"/>
              <w:rPr>
                <w:color w:val="auto"/>
              </w:rPr>
            </w:pPr>
            <w:r w:rsidRPr="003F52BF">
              <w:rPr>
                <w:color w:val="auto"/>
              </w:rPr>
              <w:t>-280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BE2FB5">
            <w:pPr>
              <w:jc w:val="right"/>
              <w:rPr>
                <w:color w:val="auto"/>
              </w:rPr>
            </w:pPr>
            <w:r w:rsidRPr="003F52BF">
              <w:rPr>
                <w:color w:val="auto"/>
              </w:rPr>
              <w:t>-32%</w:t>
            </w:r>
          </w:p>
        </w:tc>
      </w:tr>
      <w:tr w:rsidR="00BE2FB5" w:rsidRPr="003F52BF" w:rsidTr="00315777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BE2FB5">
            <w:pPr>
              <w:rPr>
                <w:color w:val="auto"/>
              </w:rPr>
            </w:pPr>
            <w:r w:rsidRPr="003F52BF">
              <w:rPr>
                <w:color w:val="auto"/>
              </w:rPr>
              <w:t xml:space="preserve">Пар 40 </w:t>
            </w:r>
            <w:proofErr w:type="spellStart"/>
            <w:r w:rsidRPr="003F52BF">
              <w:rPr>
                <w:color w:val="auto"/>
              </w:rPr>
              <w:t>ата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315777">
            <w:pPr>
              <w:jc w:val="center"/>
              <w:rPr>
                <w:color w:val="auto"/>
              </w:rPr>
            </w:pPr>
            <w:r w:rsidRPr="003F52BF">
              <w:rPr>
                <w:color w:val="auto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BE2FB5">
            <w:pPr>
              <w:jc w:val="right"/>
              <w:rPr>
                <w:color w:val="auto"/>
              </w:rPr>
            </w:pPr>
            <w:r w:rsidRPr="003F52BF">
              <w:rPr>
                <w:color w:val="auto"/>
              </w:rPr>
              <w:t>155,000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BE2FB5">
            <w:pPr>
              <w:jc w:val="right"/>
              <w:rPr>
                <w:color w:val="auto"/>
              </w:rPr>
            </w:pPr>
            <w:r w:rsidRPr="003F52BF">
              <w:rPr>
                <w:color w:val="auto"/>
              </w:rPr>
              <w:t>137,978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BE2FB5">
            <w:pPr>
              <w:jc w:val="right"/>
              <w:rPr>
                <w:color w:val="auto"/>
              </w:rPr>
            </w:pPr>
            <w:r w:rsidRPr="003F52BF">
              <w:rPr>
                <w:color w:val="auto"/>
              </w:rPr>
              <w:t>-17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BE2FB5">
            <w:pPr>
              <w:jc w:val="right"/>
              <w:rPr>
                <w:color w:val="auto"/>
              </w:rPr>
            </w:pPr>
            <w:r w:rsidRPr="003F52BF">
              <w:rPr>
                <w:color w:val="auto"/>
              </w:rPr>
              <w:t>-11%</w:t>
            </w:r>
          </w:p>
        </w:tc>
      </w:tr>
      <w:tr w:rsidR="00BE2FB5" w:rsidRPr="003F52BF" w:rsidTr="00315777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BE2FB5">
            <w:pPr>
              <w:rPr>
                <w:color w:val="auto"/>
              </w:rPr>
            </w:pPr>
            <w:r w:rsidRPr="003F52BF">
              <w:rPr>
                <w:color w:val="auto"/>
              </w:rPr>
              <w:t>Горячая вода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315777">
            <w:pPr>
              <w:jc w:val="center"/>
              <w:rPr>
                <w:color w:val="auto"/>
              </w:rPr>
            </w:pPr>
            <w:r w:rsidRPr="003F52BF">
              <w:rPr>
                <w:color w:val="auto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BE2FB5">
            <w:pPr>
              <w:jc w:val="right"/>
              <w:rPr>
                <w:color w:val="auto"/>
              </w:rPr>
            </w:pPr>
            <w:r w:rsidRPr="003F52BF">
              <w:rPr>
                <w:color w:val="auto"/>
              </w:rPr>
              <w:t>3 943,448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BE2FB5">
            <w:pPr>
              <w:jc w:val="right"/>
              <w:rPr>
                <w:color w:val="auto"/>
              </w:rPr>
            </w:pPr>
            <w:r w:rsidRPr="003F52BF">
              <w:rPr>
                <w:color w:val="auto"/>
              </w:rPr>
              <w:t>3 912,091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BE2FB5">
            <w:pPr>
              <w:jc w:val="right"/>
              <w:rPr>
                <w:color w:val="auto"/>
              </w:rPr>
            </w:pPr>
            <w:r w:rsidRPr="003F52BF">
              <w:rPr>
                <w:color w:val="auto"/>
              </w:rPr>
              <w:t>-31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BE2FB5">
            <w:pPr>
              <w:jc w:val="right"/>
              <w:rPr>
                <w:color w:val="auto"/>
              </w:rPr>
            </w:pPr>
            <w:r w:rsidRPr="003F52BF">
              <w:rPr>
                <w:color w:val="auto"/>
              </w:rPr>
              <w:t>-1%</w:t>
            </w:r>
          </w:p>
        </w:tc>
      </w:tr>
      <w:tr w:rsidR="00BE2FB5" w:rsidRPr="003F52BF" w:rsidTr="00315777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BE2FB5">
            <w:pPr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ТЭЦ-3, в том числе: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315777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тыс. Гкал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BE2FB5">
            <w:pPr>
              <w:jc w:val="right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2 492,080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BE2FB5">
            <w:pPr>
              <w:jc w:val="right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2 209,048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BE2FB5">
            <w:pPr>
              <w:jc w:val="right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-283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BE2FB5">
            <w:pPr>
              <w:jc w:val="right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-11%</w:t>
            </w:r>
          </w:p>
        </w:tc>
      </w:tr>
      <w:tr w:rsidR="00BE2FB5" w:rsidRPr="003F52BF" w:rsidTr="00315777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BE2FB5">
            <w:pPr>
              <w:rPr>
                <w:color w:val="auto"/>
              </w:rPr>
            </w:pPr>
            <w:r w:rsidRPr="003F52BF">
              <w:rPr>
                <w:color w:val="auto"/>
              </w:rPr>
              <w:t xml:space="preserve">Пар 16 </w:t>
            </w:r>
            <w:proofErr w:type="spellStart"/>
            <w:r w:rsidRPr="003F52BF">
              <w:rPr>
                <w:color w:val="auto"/>
              </w:rPr>
              <w:t>ата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315777">
            <w:pPr>
              <w:jc w:val="center"/>
              <w:rPr>
                <w:color w:val="auto"/>
              </w:rPr>
            </w:pPr>
            <w:r w:rsidRPr="003F52BF">
              <w:rPr>
                <w:color w:val="auto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BE2FB5">
            <w:pPr>
              <w:jc w:val="right"/>
              <w:rPr>
                <w:color w:val="auto"/>
              </w:rPr>
            </w:pPr>
            <w:r w:rsidRPr="003F52BF">
              <w:rPr>
                <w:color w:val="auto"/>
              </w:rPr>
              <w:t>790,396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BE2FB5">
            <w:pPr>
              <w:jc w:val="right"/>
              <w:rPr>
                <w:color w:val="auto"/>
              </w:rPr>
            </w:pPr>
            <w:r w:rsidRPr="003F52BF">
              <w:rPr>
                <w:color w:val="auto"/>
              </w:rPr>
              <w:t>599,212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BE2FB5">
            <w:pPr>
              <w:jc w:val="right"/>
              <w:rPr>
                <w:color w:val="auto"/>
              </w:rPr>
            </w:pPr>
            <w:r w:rsidRPr="003F52BF">
              <w:rPr>
                <w:color w:val="auto"/>
              </w:rPr>
              <w:t>-191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BE2FB5">
            <w:pPr>
              <w:jc w:val="right"/>
              <w:rPr>
                <w:color w:val="auto"/>
              </w:rPr>
            </w:pPr>
            <w:r w:rsidRPr="003F52BF">
              <w:rPr>
                <w:color w:val="auto"/>
              </w:rPr>
              <w:t>-24%</w:t>
            </w:r>
          </w:p>
        </w:tc>
      </w:tr>
      <w:tr w:rsidR="00BE2FB5" w:rsidRPr="003F52BF" w:rsidTr="00315777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BE2FB5">
            <w:pPr>
              <w:rPr>
                <w:color w:val="auto"/>
              </w:rPr>
            </w:pPr>
            <w:r w:rsidRPr="003F52BF">
              <w:rPr>
                <w:color w:val="auto"/>
              </w:rPr>
              <w:t xml:space="preserve">Пар 40 </w:t>
            </w:r>
            <w:proofErr w:type="spellStart"/>
            <w:r w:rsidRPr="003F52BF">
              <w:rPr>
                <w:color w:val="auto"/>
              </w:rPr>
              <w:t>ата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315777">
            <w:pPr>
              <w:jc w:val="center"/>
              <w:rPr>
                <w:color w:val="auto"/>
              </w:rPr>
            </w:pPr>
            <w:r w:rsidRPr="003F52BF">
              <w:rPr>
                <w:color w:val="auto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BE2FB5">
            <w:pPr>
              <w:jc w:val="right"/>
              <w:rPr>
                <w:color w:val="auto"/>
              </w:rPr>
            </w:pPr>
            <w:r w:rsidRPr="003F52BF">
              <w:rPr>
                <w:color w:val="auto"/>
              </w:rPr>
              <w:t>155,000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BE2FB5">
            <w:pPr>
              <w:jc w:val="right"/>
              <w:rPr>
                <w:color w:val="auto"/>
              </w:rPr>
            </w:pPr>
            <w:r w:rsidRPr="003F52BF">
              <w:rPr>
                <w:color w:val="auto"/>
              </w:rPr>
              <w:t>137,978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BE2FB5">
            <w:pPr>
              <w:jc w:val="right"/>
              <w:rPr>
                <w:color w:val="auto"/>
              </w:rPr>
            </w:pPr>
            <w:r w:rsidRPr="003F52BF">
              <w:rPr>
                <w:color w:val="auto"/>
              </w:rPr>
              <w:t>-17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BE2FB5">
            <w:pPr>
              <w:jc w:val="right"/>
              <w:rPr>
                <w:color w:val="auto"/>
              </w:rPr>
            </w:pPr>
            <w:r w:rsidRPr="003F52BF">
              <w:rPr>
                <w:color w:val="auto"/>
              </w:rPr>
              <w:t>-11%</w:t>
            </w:r>
          </w:p>
        </w:tc>
      </w:tr>
      <w:tr w:rsidR="00BE2FB5" w:rsidRPr="003F52BF" w:rsidTr="00315777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BE2FB5">
            <w:pPr>
              <w:rPr>
                <w:color w:val="auto"/>
              </w:rPr>
            </w:pPr>
            <w:r w:rsidRPr="003F52BF">
              <w:rPr>
                <w:color w:val="auto"/>
              </w:rPr>
              <w:t>Горячая вода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315777">
            <w:pPr>
              <w:jc w:val="center"/>
              <w:rPr>
                <w:color w:val="auto"/>
              </w:rPr>
            </w:pPr>
            <w:r w:rsidRPr="003F52BF">
              <w:rPr>
                <w:color w:val="auto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BE2FB5">
            <w:pPr>
              <w:jc w:val="right"/>
              <w:rPr>
                <w:color w:val="auto"/>
              </w:rPr>
            </w:pPr>
            <w:r w:rsidRPr="003F52BF">
              <w:rPr>
                <w:color w:val="auto"/>
              </w:rPr>
              <w:t>1 546,684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BE2FB5">
            <w:pPr>
              <w:jc w:val="right"/>
              <w:rPr>
                <w:color w:val="auto"/>
              </w:rPr>
            </w:pPr>
            <w:r w:rsidRPr="003F52BF">
              <w:rPr>
                <w:color w:val="auto"/>
              </w:rPr>
              <w:t>1 471,858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BE2FB5">
            <w:pPr>
              <w:jc w:val="right"/>
              <w:rPr>
                <w:color w:val="auto"/>
              </w:rPr>
            </w:pPr>
            <w:r w:rsidRPr="003F52BF">
              <w:rPr>
                <w:color w:val="auto"/>
              </w:rPr>
              <w:t>-75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BE2FB5">
            <w:pPr>
              <w:jc w:val="right"/>
              <w:rPr>
                <w:color w:val="auto"/>
              </w:rPr>
            </w:pPr>
            <w:r w:rsidRPr="003F52BF">
              <w:rPr>
                <w:color w:val="auto"/>
              </w:rPr>
              <w:t>-5%</w:t>
            </w:r>
          </w:p>
        </w:tc>
      </w:tr>
      <w:tr w:rsidR="00BE2FB5" w:rsidRPr="003F52BF" w:rsidTr="00315777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BE2FB5">
            <w:pPr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ТЭЦ-2, в том числе: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315777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тыс. Гкал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BE2FB5">
            <w:pPr>
              <w:jc w:val="right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927,099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BE2FB5">
            <w:pPr>
              <w:jc w:val="right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903,196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BE2FB5">
            <w:pPr>
              <w:jc w:val="right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-24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BE2FB5">
            <w:pPr>
              <w:jc w:val="right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-3%</w:t>
            </w:r>
          </w:p>
        </w:tc>
      </w:tr>
      <w:tr w:rsidR="00BE2FB5" w:rsidRPr="003F52BF" w:rsidTr="00315777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BE2FB5">
            <w:pPr>
              <w:rPr>
                <w:color w:val="auto"/>
              </w:rPr>
            </w:pPr>
            <w:r w:rsidRPr="003F52BF">
              <w:rPr>
                <w:color w:val="auto"/>
              </w:rPr>
              <w:t xml:space="preserve">Пар 16 </w:t>
            </w:r>
            <w:proofErr w:type="spellStart"/>
            <w:r w:rsidRPr="003F52BF">
              <w:rPr>
                <w:color w:val="auto"/>
              </w:rPr>
              <w:t>ата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315777">
            <w:pPr>
              <w:jc w:val="center"/>
              <w:rPr>
                <w:color w:val="auto"/>
              </w:rPr>
            </w:pPr>
            <w:r w:rsidRPr="003F52BF">
              <w:rPr>
                <w:color w:val="auto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BE2FB5">
            <w:pPr>
              <w:jc w:val="right"/>
              <w:rPr>
                <w:color w:val="auto"/>
              </w:rPr>
            </w:pPr>
            <w:r w:rsidRPr="003F52BF">
              <w:rPr>
                <w:color w:val="auto"/>
              </w:rPr>
              <w:t>99,612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BE2FB5">
            <w:pPr>
              <w:jc w:val="right"/>
              <w:rPr>
                <w:color w:val="auto"/>
              </w:rPr>
            </w:pPr>
            <w:r w:rsidRPr="003F52BF">
              <w:rPr>
                <w:color w:val="auto"/>
              </w:rPr>
              <w:t>10,421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BE2FB5">
            <w:pPr>
              <w:jc w:val="right"/>
              <w:rPr>
                <w:color w:val="auto"/>
              </w:rPr>
            </w:pPr>
            <w:r w:rsidRPr="003F52BF">
              <w:rPr>
                <w:color w:val="auto"/>
              </w:rPr>
              <w:t>-89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BE2FB5">
            <w:pPr>
              <w:jc w:val="right"/>
              <w:rPr>
                <w:color w:val="auto"/>
              </w:rPr>
            </w:pPr>
            <w:r w:rsidRPr="003F52BF">
              <w:rPr>
                <w:color w:val="auto"/>
              </w:rPr>
              <w:t>-90%</w:t>
            </w:r>
          </w:p>
        </w:tc>
      </w:tr>
      <w:tr w:rsidR="00BE2FB5" w:rsidRPr="003F52BF" w:rsidTr="00315777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BE2FB5">
            <w:pPr>
              <w:rPr>
                <w:color w:val="auto"/>
              </w:rPr>
            </w:pPr>
            <w:r w:rsidRPr="003F52BF">
              <w:rPr>
                <w:color w:val="auto"/>
              </w:rPr>
              <w:t>Горячая вода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315777">
            <w:pPr>
              <w:jc w:val="center"/>
              <w:rPr>
                <w:color w:val="auto"/>
              </w:rPr>
            </w:pPr>
            <w:r w:rsidRPr="003F52BF">
              <w:rPr>
                <w:color w:val="auto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BE2FB5">
            <w:pPr>
              <w:jc w:val="right"/>
              <w:rPr>
                <w:color w:val="auto"/>
              </w:rPr>
            </w:pPr>
            <w:r w:rsidRPr="003F52BF">
              <w:rPr>
                <w:color w:val="auto"/>
              </w:rPr>
              <w:t>827,487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BE2FB5">
            <w:pPr>
              <w:jc w:val="right"/>
              <w:rPr>
                <w:color w:val="auto"/>
              </w:rPr>
            </w:pPr>
            <w:r w:rsidRPr="003F52BF">
              <w:rPr>
                <w:color w:val="auto"/>
              </w:rPr>
              <w:t>892,775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BE2FB5">
            <w:pPr>
              <w:jc w:val="right"/>
              <w:rPr>
                <w:color w:val="auto"/>
              </w:rPr>
            </w:pPr>
            <w:r w:rsidRPr="003F52BF">
              <w:rPr>
                <w:color w:val="auto"/>
              </w:rPr>
              <w:t>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BE2FB5">
            <w:pPr>
              <w:jc w:val="right"/>
              <w:rPr>
                <w:color w:val="auto"/>
              </w:rPr>
            </w:pPr>
            <w:r w:rsidRPr="003F52BF">
              <w:rPr>
                <w:color w:val="auto"/>
              </w:rPr>
              <w:t>8%</w:t>
            </w:r>
          </w:p>
        </w:tc>
      </w:tr>
      <w:tr w:rsidR="00BE2FB5" w:rsidRPr="003F52BF" w:rsidTr="00315777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BE2FB5">
            <w:pPr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ЭТЭЦ, в том числе: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315777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тыс. Гкал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BE2FB5">
            <w:pPr>
              <w:jc w:val="right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1 569,277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BE2FB5">
            <w:pPr>
              <w:jc w:val="right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1 547,458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BE2FB5">
            <w:pPr>
              <w:jc w:val="right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-22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BE2FB5">
            <w:pPr>
              <w:jc w:val="right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-1%</w:t>
            </w:r>
          </w:p>
        </w:tc>
      </w:tr>
      <w:tr w:rsidR="00BE2FB5" w:rsidRPr="003F52BF" w:rsidTr="00315777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BE2FB5">
            <w:pPr>
              <w:rPr>
                <w:color w:val="auto"/>
              </w:rPr>
            </w:pPr>
            <w:r w:rsidRPr="003F52BF">
              <w:rPr>
                <w:color w:val="auto"/>
              </w:rPr>
              <w:t>Горячая вода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315777">
            <w:pPr>
              <w:jc w:val="center"/>
              <w:rPr>
                <w:color w:val="auto"/>
              </w:rPr>
            </w:pPr>
            <w:r w:rsidRPr="003F52BF">
              <w:rPr>
                <w:color w:val="auto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BE2FB5">
            <w:pPr>
              <w:jc w:val="right"/>
              <w:rPr>
                <w:color w:val="auto"/>
              </w:rPr>
            </w:pPr>
            <w:r w:rsidRPr="003F52BF">
              <w:rPr>
                <w:color w:val="auto"/>
              </w:rPr>
              <w:t>1 569,277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BE2FB5">
            <w:pPr>
              <w:jc w:val="right"/>
              <w:rPr>
                <w:color w:val="auto"/>
              </w:rPr>
            </w:pPr>
            <w:r w:rsidRPr="003F52BF">
              <w:rPr>
                <w:color w:val="auto"/>
              </w:rPr>
              <w:t>1 547,458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BE2FB5">
            <w:pPr>
              <w:jc w:val="right"/>
              <w:rPr>
                <w:color w:val="auto"/>
              </w:rPr>
            </w:pPr>
            <w:r w:rsidRPr="003F52BF">
              <w:rPr>
                <w:color w:val="auto"/>
              </w:rPr>
              <w:t>-22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BE2FB5">
            <w:pPr>
              <w:jc w:val="right"/>
              <w:rPr>
                <w:color w:val="auto"/>
              </w:rPr>
            </w:pPr>
            <w:r w:rsidRPr="003F52BF">
              <w:rPr>
                <w:color w:val="auto"/>
              </w:rPr>
              <w:t>-1%</w:t>
            </w:r>
          </w:p>
        </w:tc>
      </w:tr>
    </w:tbl>
    <w:p w:rsidR="00243177" w:rsidRPr="003F52BF" w:rsidRDefault="00243177" w:rsidP="00243177">
      <w:pPr>
        <w:jc w:val="both"/>
        <w:rPr>
          <w:sz w:val="24"/>
          <w:szCs w:val="24"/>
        </w:rPr>
      </w:pPr>
    </w:p>
    <w:p w:rsidR="00243177" w:rsidRPr="003F52BF" w:rsidRDefault="003F52BF" w:rsidP="00A5607F">
      <w:pPr>
        <w:ind w:firstLine="709"/>
        <w:rPr>
          <w:sz w:val="24"/>
          <w:szCs w:val="24"/>
        </w:rPr>
      </w:pPr>
      <w:r w:rsidRPr="003F52BF">
        <w:rPr>
          <w:sz w:val="24"/>
          <w:szCs w:val="24"/>
        </w:rPr>
        <w:t xml:space="preserve">Ежегодно с потребителями заключаются договора на поставку тепловой энергии </w:t>
      </w:r>
      <w:proofErr w:type="gramStart"/>
      <w:r w:rsidRPr="003F52BF">
        <w:rPr>
          <w:sz w:val="24"/>
          <w:szCs w:val="24"/>
        </w:rPr>
        <w:t>согласно</w:t>
      </w:r>
      <w:proofErr w:type="gramEnd"/>
      <w:r w:rsidRPr="003F52BF">
        <w:rPr>
          <w:sz w:val="24"/>
          <w:szCs w:val="24"/>
        </w:rPr>
        <w:t xml:space="preserve"> заявленных объемов. По условиям договора ежемесячно с потребителями подписываются акты на поставку тепловой энергии. В 2014 году претензий со стороны потребителей тепловой энергии по качеству и количеству не было.</w:t>
      </w:r>
    </w:p>
    <w:p w:rsidR="00B42846" w:rsidRDefault="00B42846" w:rsidP="00B42846">
      <w:pPr>
        <w:pStyle w:val="a6"/>
        <w:spacing w:line="240" w:lineRule="auto"/>
        <w:jc w:val="left"/>
        <w:rPr>
          <w:rStyle w:val="s0"/>
          <w:color w:val="FF0000"/>
          <w:sz w:val="24"/>
          <w:szCs w:val="24"/>
        </w:rPr>
      </w:pPr>
    </w:p>
    <w:p w:rsidR="00AC1114" w:rsidRDefault="00AC1114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AC1114" w:rsidRDefault="00AC1114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AC1114" w:rsidRDefault="00AC1114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AC1114" w:rsidRDefault="00AC1114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AC1114" w:rsidRDefault="00AC1114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AC1114" w:rsidRDefault="00AC1114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AC1114" w:rsidRDefault="00AC1114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AC1114" w:rsidRDefault="00AC1114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AC1114" w:rsidRDefault="00AC1114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AC1114" w:rsidRDefault="00AC1114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AC1114" w:rsidRDefault="00AC1114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AC1114" w:rsidRDefault="00AC1114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AC1114" w:rsidRDefault="00AC1114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AC1114" w:rsidRDefault="00AC1114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AC1114" w:rsidRDefault="00AC1114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AC1114" w:rsidRDefault="00AC1114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AC1114" w:rsidRDefault="00AC1114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AC1114" w:rsidRDefault="00AC1114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AC1114" w:rsidRDefault="00AC1114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AC1114" w:rsidRDefault="00AC1114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AC1114" w:rsidRDefault="00AC1114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AC1114" w:rsidRDefault="00AC1114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AC1114" w:rsidRDefault="00AC1114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AC1114" w:rsidRDefault="00AC1114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AC1114" w:rsidRDefault="00AC1114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AC1114" w:rsidRDefault="00AC1114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AC1114" w:rsidRDefault="00AC1114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AC1114" w:rsidRDefault="00AC1114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AC1114" w:rsidRDefault="00AC1114" w:rsidP="00AC1114">
      <w:pPr>
        <w:jc w:val="center"/>
        <w:rPr>
          <w:b/>
          <w:bCs/>
          <w:color w:val="auto"/>
        </w:rPr>
        <w:sectPr w:rsidR="00AC1114" w:rsidSect="002A47D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603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6"/>
        <w:gridCol w:w="3368"/>
        <w:gridCol w:w="1120"/>
        <w:gridCol w:w="1417"/>
        <w:gridCol w:w="1276"/>
        <w:gridCol w:w="707"/>
        <w:gridCol w:w="1561"/>
        <w:gridCol w:w="1276"/>
        <w:gridCol w:w="708"/>
        <w:gridCol w:w="1559"/>
        <w:gridCol w:w="1559"/>
        <w:gridCol w:w="864"/>
      </w:tblGrid>
      <w:tr w:rsidR="00AC1114" w:rsidRPr="00AC1114" w:rsidTr="00AC1114">
        <w:trPr>
          <w:trHeight w:val="300"/>
        </w:trPr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lastRenderedPageBreak/>
              <w:t xml:space="preserve">№ </w:t>
            </w:r>
            <w:proofErr w:type="gramStart"/>
            <w:r w:rsidRPr="00AC1114">
              <w:rPr>
                <w:b/>
                <w:bCs/>
                <w:color w:val="auto"/>
              </w:rPr>
              <w:t>п</w:t>
            </w:r>
            <w:proofErr w:type="gramEnd"/>
            <w:r w:rsidRPr="00AC1114">
              <w:rPr>
                <w:b/>
                <w:bCs/>
                <w:color w:val="auto"/>
              </w:rPr>
              <w:t>/п</w:t>
            </w:r>
          </w:p>
        </w:tc>
        <w:tc>
          <w:tcPr>
            <w:tcW w:w="33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Наименование показателей тарифной сметы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Ед. изм.</w:t>
            </w: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b/>
                <w:bCs/>
              </w:rPr>
            </w:pPr>
            <w:r w:rsidRPr="00AC1114">
              <w:rPr>
                <w:b/>
                <w:bCs/>
              </w:rPr>
              <w:t>Тарифная смета ТЭЦ-3</w:t>
            </w:r>
          </w:p>
        </w:tc>
        <w:tc>
          <w:tcPr>
            <w:tcW w:w="35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b/>
                <w:bCs/>
              </w:rPr>
            </w:pPr>
            <w:r w:rsidRPr="00AC1114">
              <w:rPr>
                <w:b/>
                <w:bCs/>
              </w:rPr>
              <w:t>Тарифная смета ТЭЦ-2</w:t>
            </w:r>
          </w:p>
        </w:tc>
        <w:tc>
          <w:tcPr>
            <w:tcW w:w="398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b/>
                <w:bCs/>
              </w:rPr>
            </w:pPr>
            <w:r w:rsidRPr="00AC1114">
              <w:rPr>
                <w:b/>
                <w:bCs/>
              </w:rPr>
              <w:t>Тарифная смета ЭТЭЦ</w:t>
            </w:r>
          </w:p>
        </w:tc>
      </w:tr>
      <w:tr w:rsidR="00AC1114" w:rsidRPr="00AC1114" w:rsidTr="00AC1114">
        <w:trPr>
          <w:trHeight w:val="555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1114" w:rsidRPr="00AC1114" w:rsidRDefault="00AC1114" w:rsidP="00AC1114">
            <w:pPr>
              <w:rPr>
                <w:b/>
                <w:bCs/>
                <w:color w:val="auto"/>
              </w:rPr>
            </w:pPr>
          </w:p>
        </w:tc>
        <w:tc>
          <w:tcPr>
            <w:tcW w:w="33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114" w:rsidRPr="00AC1114" w:rsidRDefault="00AC1114" w:rsidP="00AC1114">
            <w:pPr>
              <w:rPr>
                <w:b/>
                <w:bCs/>
                <w:color w:val="auto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114" w:rsidRPr="00AC1114" w:rsidRDefault="00AC1114" w:rsidP="00AC1114">
            <w:pPr>
              <w:rPr>
                <w:b/>
                <w:bCs/>
                <w:color w:val="auto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 xml:space="preserve">Предусмотрено в утвержденной тарифной смете на 2014 год в пересчете на </w:t>
            </w:r>
            <w:proofErr w:type="spellStart"/>
            <w:r w:rsidRPr="00AC1114">
              <w:rPr>
                <w:b/>
                <w:bCs/>
                <w:color w:val="auto"/>
              </w:rPr>
              <w:t>факт</w:t>
            </w:r>
            <w:proofErr w:type="gramStart"/>
            <w:r w:rsidRPr="00AC1114">
              <w:rPr>
                <w:b/>
                <w:bCs/>
                <w:color w:val="auto"/>
              </w:rPr>
              <w:t>.о</w:t>
            </w:r>
            <w:proofErr w:type="gramEnd"/>
            <w:r w:rsidRPr="00AC1114">
              <w:rPr>
                <w:b/>
                <w:bCs/>
                <w:color w:val="auto"/>
              </w:rPr>
              <w:t>бъем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Фактически сложившиеся показатели тарифной сметы за 2014 год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b/>
                <w:bCs/>
                <w:color w:val="auto"/>
              </w:rPr>
            </w:pPr>
            <w:proofErr w:type="spellStart"/>
            <w:proofErr w:type="gramStart"/>
            <w:r w:rsidRPr="00AC1114">
              <w:rPr>
                <w:b/>
                <w:bCs/>
                <w:color w:val="auto"/>
              </w:rPr>
              <w:t>Откло</w:t>
            </w:r>
            <w:proofErr w:type="spellEnd"/>
            <w:r w:rsidRPr="00AC1114">
              <w:rPr>
                <w:b/>
                <w:bCs/>
                <w:color w:val="auto"/>
              </w:rPr>
              <w:t>-нения</w:t>
            </w:r>
            <w:proofErr w:type="gramEnd"/>
          </w:p>
        </w:tc>
        <w:tc>
          <w:tcPr>
            <w:tcW w:w="1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 xml:space="preserve">Предусмотрено в утвержденной тарифной смете на 2014 год в пересчете на </w:t>
            </w:r>
            <w:proofErr w:type="spellStart"/>
            <w:r w:rsidRPr="00AC1114">
              <w:rPr>
                <w:b/>
                <w:bCs/>
                <w:color w:val="auto"/>
              </w:rPr>
              <w:t>факт</w:t>
            </w:r>
            <w:proofErr w:type="gramStart"/>
            <w:r w:rsidRPr="00AC1114">
              <w:rPr>
                <w:b/>
                <w:bCs/>
                <w:color w:val="auto"/>
              </w:rPr>
              <w:t>.о</w:t>
            </w:r>
            <w:proofErr w:type="gramEnd"/>
            <w:r w:rsidRPr="00AC1114">
              <w:rPr>
                <w:b/>
                <w:bCs/>
                <w:color w:val="auto"/>
              </w:rPr>
              <w:t>бъем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Фактически сложившиеся показатели тарифной сметы за 2014 год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b/>
                <w:bCs/>
                <w:color w:val="auto"/>
              </w:rPr>
            </w:pPr>
            <w:proofErr w:type="spellStart"/>
            <w:proofErr w:type="gramStart"/>
            <w:r w:rsidRPr="00AC1114">
              <w:rPr>
                <w:b/>
                <w:bCs/>
                <w:color w:val="auto"/>
              </w:rPr>
              <w:t>Откло</w:t>
            </w:r>
            <w:proofErr w:type="spellEnd"/>
            <w:r w:rsidRPr="00AC1114">
              <w:rPr>
                <w:b/>
                <w:bCs/>
                <w:color w:val="auto"/>
              </w:rPr>
              <w:t>-нения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 xml:space="preserve">Предусмотрено в утвержденной тарифной смете на 2014 год в пересчете на </w:t>
            </w:r>
            <w:proofErr w:type="spellStart"/>
            <w:r w:rsidRPr="00AC1114">
              <w:rPr>
                <w:b/>
                <w:bCs/>
                <w:color w:val="auto"/>
              </w:rPr>
              <w:t>факт</w:t>
            </w:r>
            <w:proofErr w:type="gramStart"/>
            <w:r w:rsidRPr="00AC1114">
              <w:rPr>
                <w:b/>
                <w:bCs/>
                <w:color w:val="auto"/>
              </w:rPr>
              <w:t>.о</w:t>
            </w:r>
            <w:proofErr w:type="gramEnd"/>
            <w:r w:rsidRPr="00AC1114">
              <w:rPr>
                <w:b/>
                <w:bCs/>
                <w:color w:val="auto"/>
              </w:rPr>
              <w:t>бъем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Фактически сложившиеся показатели тарифной сметы за 2014 год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b/>
                <w:bCs/>
                <w:color w:val="auto"/>
              </w:rPr>
            </w:pPr>
            <w:proofErr w:type="spellStart"/>
            <w:proofErr w:type="gramStart"/>
            <w:r w:rsidRPr="00AC1114">
              <w:rPr>
                <w:b/>
                <w:bCs/>
                <w:color w:val="auto"/>
              </w:rPr>
              <w:t>Откло</w:t>
            </w:r>
            <w:proofErr w:type="spellEnd"/>
            <w:r w:rsidRPr="00AC1114">
              <w:rPr>
                <w:b/>
                <w:bCs/>
                <w:color w:val="auto"/>
              </w:rPr>
              <w:t>-нения</w:t>
            </w:r>
            <w:proofErr w:type="gramEnd"/>
          </w:p>
        </w:tc>
      </w:tr>
      <w:tr w:rsidR="00AC1114" w:rsidRPr="00AC1114" w:rsidTr="00AC1114">
        <w:trPr>
          <w:trHeight w:val="555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1114" w:rsidRPr="00AC1114" w:rsidRDefault="00AC1114" w:rsidP="00AC1114">
            <w:pPr>
              <w:rPr>
                <w:b/>
                <w:bCs/>
                <w:color w:val="auto"/>
              </w:rPr>
            </w:pPr>
          </w:p>
        </w:tc>
        <w:tc>
          <w:tcPr>
            <w:tcW w:w="33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114" w:rsidRPr="00AC1114" w:rsidRDefault="00AC1114" w:rsidP="00AC1114">
            <w:pPr>
              <w:rPr>
                <w:b/>
                <w:bCs/>
                <w:color w:val="auto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114" w:rsidRPr="00AC1114" w:rsidRDefault="00AC1114" w:rsidP="00AC1114">
            <w:pPr>
              <w:rPr>
                <w:b/>
                <w:bCs/>
                <w:color w:val="auto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1114" w:rsidRPr="00AC1114" w:rsidRDefault="00AC1114" w:rsidP="00AC1114">
            <w:pPr>
              <w:rPr>
                <w:b/>
                <w:bCs/>
                <w:color w:val="aut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1114" w:rsidRPr="00AC1114" w:rsidRDefault="00AC1114" w:rsidP="00AC1114">
            <w:pPr>
              <w:rPr>
                <w:b/>
                <w:bCs/>
                <w:color w:val="auto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114" w:rsidRPr="00AC1114" w:rsidRDefault="00AC1114" w:rsidP="00AC1114">
            <w:pPr>
              <w:rPr>
                <w:b/>
                <w:bCs/>
                <w:color w:val="auto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1114" w:rsidRPr="00AC1114" w:rsidRDefault="00AC1114" w:rsidP="00AC1114">
            <w:pPr>
              <w:rPr>
                <w:b/>
                <w:bCs/>
                <w:color w:val="aut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1114" w:rsidRPr="00AC1114" w:rsidRDefault="00AC1114" w:rsidP="00AC1114">
            <w:pPr>
              <w:rPr>
                <w:b/>
                <w:bCs/>
                <w:color w:val="auto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114" w:rsidRPr="00AC1114" w:rsidRDefault="00AC1114" w:rsidP="00AC1114">
            <w:pPr>
              <w:rPr>
                <w:b/>
                <w:bCs/>
                <w:color w:val="auto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1114" w:rsidRPr="00AC1114" w:rsidRDefault="00AC1114" w:rsidP="00AC1114">
            <w:pPr>
              <w:rPr>
                <w:b/>
                <w:bCs/>
                <w:color w:val="auto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1114" w:rsidRPr="00AC1114" w:rsidRDefault="00AC1114" w:rsidP="00AC1114">
            <w:pPr>
              <w:rPr>
                <w:b/>
                <w:bCs/>
                <w:color w:val="auto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114" w:rsidRPr="00AC1114" w:rsidRDefault="00AC1114" w:rsidP="00AC1114">
            <w:pPr>
              <w:rPr>
                <w:b/>
                <w:bCs/>
                <w:color w:val="auto"/>
              </w:rPr>
            </w:pPr>
          </w:p>
        </w:tc>
      </w:tr>
      <w:tr w:rsidR="00AC1114" w:rsidRPr="00AC1114" w:rsidTr="00AC1114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color w:val="auto"/>
              </w:rPr>
            </w:pPr>
            <w:r w:rsidRPr="00AC1114">
              <w:rPr>
                <w:color w:val="auto"/>
              </w:rPr>
              <w:t>1</w:t>
            </w:r>
          </w:p>
        </w:tc>
        <w:tc>
          <w:tcPr>
            <w:tcW w:w="3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color w:val="auto"/>
              </w:rPr>
            </w:pPr>
            <w:r w:rsidRPr="00AC1114">
              <w:rPr>
                <w:color w:val="auto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color w:val="auto"/>
              </w:rPr>
            </w:pPr>
            <w:r w:rsidRPr="00AC1114">
              <w:rPr>
                <w:color w:val="auto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color w:val="auto"/>
              </w:rPr>
            </w:pPr>
            <w:r w:rsidRPr="00AC1114">
              <w:rPr>
                <w:color w:val="auto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color w:val="auto"/>
              </w:rPr>
            </w:pPr>
            <w:r w:rsidRPr="00AC1114">
              <w:rPr>
                <w:color w:val="auto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color w:val="auto"/>
              </w:rPr>
            </w:pPr>
            <w:r w:rsidRPr="00AC1114">
              <w:rPr>
                <w:color w:val="auto"/>
              </w:rPr>
              <w:t>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color w:val="auto"/>
              </w:rPr>
            </w:pPr>
            <w:r w:rsidRPr="00AC1114">
              <w:rPr>
                <w:color w:val="auto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color w:val="auto"/>
              </w:rPr>
            </w:pPr>
            <w:r w:rsidRPr="00AC1114">
              <w:rPr>
                <w:color w:val="auto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color w:val="auto"/>
              </w:rPr>
            </w:pPr>
            <w:r w:rsidRPr="00AC1114">
              <w:rPr>
                <w:color w:val="auto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color w:val="auto"/>
              </w:rPr>
            </w:pPr>
            <w:r w:rsidRPr="00AC1114">
              <w:rPr>
                <w:color w:val="auto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color w:val="auto"/>
              </w:rPr>
            </w:pPr>
            <w:r w:rsidRPr="00AC1114">
              <w:rPr>
                <w:color w:val="auto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color w:val="auto"/>
              </w:rPr>
            </w:pPr>
            <w:r w:rsidRPr="00AC1114">
              <w:rPr>
                <w:color w:val="auto"/>
              </w:rPr>
              <w:t>12</w:t>
            </w:r>
          </w:p>
        </w:tc>
      </w:tr>
      <w:tr w:rsidR="00AC1114" w:rsidRPr="00AC1114" w:rsidTr="00AC1114">
        <w:trPr>
          <w:trHeight w:val="5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I</w:t>
            </w:r>
          </w:p>
        </w:tc>
        <w:tc>
          <w:tcPr>
            <w:tcW w:w="3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C1114" w:rsidRPr="00AC1114" w:rsidRDefault="00AC1114" w:rsidP="00AC1114">
            <w:pPr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Затраты на производство товаров и предоставление услуг, 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b/>
                <w:bCs/>
                <w:color w:val="auto"/>
              </w:rPr>
            </w:pPr>
            <w:proofErr w:type="spellStart"/>
            <w:r w:rsidRPr="00AC1114">
              <w:rPr>
                <w:b/>
                <w:bCs/>
                <w:color w:val="auto"/>
              </w:rPr>
              <w:t>тыс</w:t>
            </w:r>
            <w:proofErr w:type="gramStart"/>
            <w:r w:rsidRPr="00AC1114">
              <w:rPr>
                <w:b/>
                <w:bCs/>
                <w:color w:val="auto"/>
              </w:rPr>
              <w:t>.т</w:t>
            </w:r>
            <w:proofErr w:type="gramEnd"/>
            <w:r w:rsidRPr="00AC1114">
              <w:rPr>
                <w:b/>
                <w:bCs/>
                <w:color w:val="auto"/>
              </w:rPr>
              <w:t>енге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3 288 980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3 343 816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2%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1 511 344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1 574 853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2 407 054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2 530 904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5%</w:t>
            </w:r>
          </w:p>
        </w:tc>
      </w:tr>
      <w:tr w:rsidR="00AC1114" w:rsidRPr="00AC1114" w:rsidTr="00AC1114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1</w:t>
            </w:r>
          </w:p>
        </w:tc>
        <w:tc>
          <w:tcPr>
            <w:tcW w:w="3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Материальные затраты, 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b/>
                <w:bCs/>
                <w:color w:val="auto"/>
              </w:rPr>
            </w:pPr>
            <w:proofErr w:type="spellStart"/>
            <w:r w:rsidRPr="00AC1114">
              <w:rPr>
                <w:b/>
                <w:bCs/>
                <w:color w:val="auto"/>
              </w:rPr>
              <w:t>тыс</w:t>
            </w:r>
            <w:proofErr w:type="gramStart"/>
            <w:r w:rsidRPr="00AC1114">
              <w:rPr>
                <w:b/>
                <w:bCs/>
                <w:color w:val="auto"/>
              </w:rPr>
              <w:t>.т</w:t>
            </w:r>
            <w:proofErr w:type="gramEnd"/>
            <w:r w:rsidRPr="00AC1114">
              <w:rPr>
                <w:b/>
                <w:bCs/>
                <w:color w:val="auto"/>
              </w:rPr>
              <w:t>енге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1 764 653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1 708 467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-3%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775 302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732 595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-6%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1 160 492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1 172 574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1%</w:t>
            </w:r>
          </w:p>
        </w:tc>
      </w:tr>
      <w:tr w:rsidR="00AC1114" w:rsidRPr="00AC1114" w:rsidTr="00AC1114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1.1</w:t>
            </w:r>
          </w:p>
        </w:tc>
        <w:tc>
          <w:tcPr>
            <w:tcW w:w="3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Сырье и материалы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b/>
                <w:bCs/>
                <w:color w:val="auto"/>
              </w:rPr>
            </w:pPr>
            <w:proofErr w:type="spellStart"/>
            <w:r w:rsidRPr="00AC1114">
              <w:rPr>
                <w:b/>
                <w:bCs/>
                <w:color w:val="auto"/>
              </w:rPr>
              <w:t>тыс</w:t>
            </w:r>
            <w:proofErr w:type="gramStart"/>
            <w:r w:rsidRPr="00AC1114">
              <w:rPr>
                <w:b/>
                <w:bCs/>
                <w:color w:val="auto"/>
              </w:rPr>
              <w:t>.т</w:t>
            </w:r>
            <w:proofErr w:type="gramEnd"/>
            <w:r w:rsidRPr="00AC1114">
              <w:rPr>
                <w:b/>
                <w:bCs/>
                <w:color w:val="auto"/>
              </w:rPr>
              <w:t>енге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183 932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177 601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-3%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103 609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100 744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-3%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359 523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362 699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1%</w:t>
            </w:r>
          </w:p>
        </w:tc>
      </w:tr>
      <w:tr w:rsidR="00AC1114" w:rsidRPr="00AC1114" w:rsidTr="00AC1114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color w:val="auto"/>
              </w:rPr>
            </w:pPr>
            <w:r w:rsidRPr="00AC1114">
              <w:rPr>
                <w:color w:val="auto"/>
              </w:rPr>
              <w:t>1.1.1</w:t>
            </w:r>
          </w:p>
        </w:tc>
        <w:tc>
          <w:tcPr>
            <w:tcW w:w="3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114" w:rsidRPr="00AC1114" w:rsidRDefault="00AC1114" w:rsidP="00AC1114">
            <w:pPr>
              <w:rPr>
                <w:color w:val="auto"/>
              </w:rPr>
            </w:pPr>
            <w:r w:rsidRPr="00AC1114">
              <w:rPr>
                <w:color w:val="auto"/>
              </w:rPr>
              <w:t xml:space="preserve">  </w:t>
            </w:r>
            <w:proofErr w:type="spellStart"/>
            <w:r w:rsidRPr="00AC1114">
              <w:rPr>
                <w:color w:val="auto"/>
              </w:rPr>
              <w:t>хим</w:t>
            </w:r>
            <w:proofErr w:type="gramStart"/>
            <w:r w:rsidRPr="00AC1114">
              <w:rPr>
                <w:color w:val="auto"/>
              </w:rPr>
              <w:t>.р</w:t>
            </w:r>
            <w:proofErr w:type="gramEnd"/>
            <w:r w:rsidRPr="00AC1114">
              <w:rPr>
                <w:color w:val="auto"/>
              </w:rPr>
              <w:t>еагенты</w:t>
            </w:r>
            <w:proofErr w:type="spellEnd"/>
            <w:r w:rsidRPr="00AC1114">
              <w:rPr>
                <w:color w:val="auto"/>
              </w:rPr>
              <w:t xml:space="preserve"> и реактивы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color w:val="auto"/>
              </w:rPr>
            </w:pPr>
            <w:r w:rsidRPr="00AC1114">
              <w:rPr>
                <w:color w:val="auto"/>
              </w:rPr>
              <w:t xml:space="preserve"> -//-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44 439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42 098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-5%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6 400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6 862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6 689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6 988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4%</w:t>
            </w:r>
          </w:p>
        </w:tc>
      </w:tr>
      <w:tr w:rsidR="00AC1114" w:rsidRPr="00AC1114" w:rsidTr="00AC1114">
        <w:trPr>
          <w:trHeight w:val="13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color w:val="auto"/>
              </w:rPr>
            </w:pPr>
            <w:r w:rsidRPr="00AC1114">
              <w:rPr>
                <w:color w:val="auto"/>
              </w:rPr>
              <w:t>1.1.2</w:t>
            </w:r>
          </w:p>
        </w:tc>
        <w:tc>
          <w:tcPr>
            <w:tcW w:w="3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rPr>
                <w:color w:val="auto"/>
              </w:rPr>
            </w:pPr>
            <w:r w:rsidRPr="00AC1114">
              <w:rPr>
                <w:color w:val="auto"/>
              </w:rPr>
              <w:t xml:space="preserve">  вода на технологические цели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color w:val="auto"/>
              </w:rPr>
            </w:pPr>
            <w:r w:rsidRPr="00AC1114">
              <w:rPr>
                <w:color w:val="auto"/>
              </w:rPr>
              <w:t xml:space="preserve"> -//-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80 339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76 975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-4%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76 681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72 807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-5%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48 582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51 379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6%</w:t>
            </w:r>
          </w:p>
        </w:tc>
      </w:tr>
      <w:tr w:rsidR="00AC1114" w:rsidRPr="00AC1114" w:rsidTr="00AC1114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color w:val="auto"/>
              </w:rPr>
            </w:pPr>
            <w:r w:rsidRPr="00AC1114">
              <w:rPr>
                <w:color w:val="auto"/>
              </w:rPr>
              <w:t>1.1.3</w:t>
            </w:r>
          </w:p>
        </w:tc>
        <w:tc>
          <w:tcPr>
            <w:tcW w:w="3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114" w:rsidRPr="00AC1114" w:rsidRDefault="00AC1114" w:rsidP="00AC1114">
            <w:pPr>
              <w:rPr>
                <w:color w:val="auto"/>
              </w:rPr>
            </w:pPr>
            <w:r w:rsidRPr="00AC1114">
              <w:rPr>
                <w:color w:val="auto"/>
              </w:rPr>
              <w:t xml:space="preserve">  материалы и услуги на эксплуатацию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color w:val="auto"/>
              </w:rPr>
            </w:pPr>
            <w:r w:rsidRPr="00AC1114">
              <w:rPr>
                <w:color w:val="auto"/>
              </w:rPr>
              <w:t xml:space="preserve"> -//-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59 154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58 529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-1%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20 529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21 076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304 252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304 331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0%</w:t>
            </w:r>
          </w:p>
        </w:tc>
      </w:tr>
      <w:tr w:rsidR="00AC1114" w:rsidRPr="00AC1114" w:rsidTr="00AC1114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1.2</w:t>
            </w:r>
          </w:p>
        </w:tc>
        <w:tc>
          <w:tcPr>
            <w:tcW w:w="3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Топливо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b/>
                <w:bCs/>
                <w:color w:val="auto"/>
              </w:rPr>
            </w:pPr>
            <w:proofErr w:type="spellStart"/>
            <w:r w:rsidRPr="00AC1114">
              <w:rPr>
                <w:b/>
                <w:bCs/>
                <w:color w:val="auto"/>
              </w:rPr>
              <w:t>тыс</w:t>
            </w:r>
            <w:proofErr w:type="gramStart"/>
            <w:r w:rsidRPr="00AC1114">
              <w:rPr>
                <w:b/>
                <w:bCs/>
                <w:color w:val="auto"/>
              </w:rPr>
              <w:t>.т</w:t>
            </w:r>
            <w:proofErr w:type="gramEnd"/>
            <w:r w:rsidRPr="00AC1114">
              <w:rPr>
                <w:b/>
                <w:bCs/>
                <w:color w:val="auto"/>
              </w:rPr>
              <w:t>енге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1 568 396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1 519 091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-3%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663 112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623 726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-6%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757 719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764 597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1%</w:t>
            </w:r>
          </w:p>
        </w:tc>
      </w:tr>
      <w:tr w:rsidR="00AC1114" w:rsidRPr="00AC1114" w:rsidTr="00AC1114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color w:val="auto"/>
              </w:rPr>
            </w:pPr>
            <w:r w:rsidRPr="00AC1114">
              <w:rPr>
                <w:color w:val="auto"/>
              </w:rPr>
              <w:t>1.2.1</w:t>
            </w:r>
          </w:p>
        </w:tc>
        <w:tc>
          <w:tcPr>
            <w:tcW w:w="3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rPr>
                <w:color w:val="auto"/>
              </w:rPr>
            </w:pPr>
            <w:r w:rsidRPr="00AC1114">
              <w:rPr>
                <w:color w:val="auto"/>
              </w:rPr>
              <w:t xml:space="preserve">  уголь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color w:val="auto"/>
              </w:rPr>
            </w:pPr>
            <w:r w:rsidRPr="00AC1114">
              <w:rPr>
                <w:color w:val="auto"/>
              </w:rPr>
              <w:t xml:space="preserve"> -//-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1 515 305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1 483 531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-2%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645 550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611 309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-5%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693 557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719 818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4%</w:t>
            </w:r>
          </w:p>
        </w:tc>
      </w:tr>
      <w:tr w:rsidR="00AC1114" w:rsidRPr="00AC1114" w:rsidTr="00AC1114">
        <w:trPr>
          <w:trHeight w:val="343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color w:val="auto"/>
              </w:rPr>
            </w:pPr>
            <w:r w:rsidRPr="00AC1114">
              <w:rPr>
                <w:color w:val="auto"/>
              </w:rPr>
              <w:t>1.2.2</w:t>
            </w:r>
          </w:p>
        </w:tc>
        <w:tc>
          <w:tcPr>
            <w:tcW w:w="3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rPr>
                <w:color w:val="auto"/>
              </w:rPr>
            </w:pPr>
            <w:r w:rsidRPr="00AC1114">
              <w:rPr>
                <w:color w:val="auto"/>
              </w:rPr>
              <w:t xml:space="preserve">  мазут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color w:val="auto"/>
              </w:rPr>
            </w:pPr>
            <w:r w:rsidRPr="00AC1114">
              <w:rPr>
                <w:color w:val="auto"/>
              </w:rPr>
              <w:t xml:space="preserve"> -//-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53 091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35 559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-33%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17 562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12 417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-29%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64 162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44 780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-30%</w:t>
            </w:r>
          </w:p>
        </w:tc>
      </w:tr>
      <w:tr w:rsidR="00AC1114" w:rsidRPr="00AC1114" w:rsidTr="00AC1114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1.3</w:t>
            </w:r>
          </w:p>
        </w:tc>
        <w:tc>
          <w:tcPr>
            <w:tcW w:w="3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 xml:space="preserve"> ГСМ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b/>
                <w:bCs/>
                <w:color w:val="auto"/>
              </w:rPr>
            </w:pPr>
            <w:proofErr w:type="spellStart"/>
            <w:r w:rsidRPr="00AC1114">
              <w:rPr>
                <w:b/>
                <w:bCs/>
                <w:color w:val="auto"/>
              </w:rPr>
              <w:t>тыс</w:t>
            </w:r>
            <w:proofErr w:type="gramStart"/>
            <w:r w:rsidRPr="00AC1114">
              <w:rPr>
                <w:b/>
                <w:bCs/>
                <w:color w:val="auto"/>
              </w:rPr>
              <w:t>.т</w:t>
            </w:r>
            <w:proofErr w:type="gramEnd"/>
            <w:r w:rsidRPr="00AC1114">
              <w:rPr>
                <w:b/>
                <w:bCs/>
                <w:color w:val="auto"/>
              </w:rPr>
              <w:t>енге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3 289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3 202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-3%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 </w:t>
            </w:r>
          </w:p>
        </w:tc>
      </w:tr>
      <w:tr w:rsidR="00AC1114" w:rsidRPr="00AC1114" w:rsidTr="00AC1114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1.4</w:t>
            </w:r>
          </w:p>
        </w:tc>
        <w:tc>
          <w:tcPr>
            <w:tcW w:w="3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 xml:space="preserve"> Энергия, в </w:t>
            </w:r>
            <w:proofErr w:type="spellStart"/>
            <w:r w:rsidRPr="00AC1114">
              <w:rPr>
                <w:b/>
                <w:bCs/>
                <w:color w:val="auto"/>
              </w:rPr>
              <w:t>т.ч</w:t>
            </w:r>
            <w:proofErr w:type="spellEnd"/>
            <w:r w:rsidRPr="00AC1114">
              <w:rPr>
                <w:b/>
                <w:bCs/>
                <w:color w:val="auto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b/>
                <w:bCs/>
                <w:color w:val="auto"/>
              </w:rPr>
            </w:pPr>
            <w:proofErr w:type="spellStart"/>
            <w:r w:rsidRPr="00AC1114">
              <w:rPr>
                <w:b/>
                <w:bCs/>
                <w:color w:val="auto"/>
              </w:rPr>
              <w:t>тыс</w:t>
            </w:r>
            <w:proofErr w:type="gramStart"/>
            <w:r w:rsidRPr="00AC1114">
              <w:rPr>
                <w:b/>
                <w:bCs/>
                <w:color w:val="auto"/>
              </w:rPr>
              <w:t>.т</w:t>
            </w:r>
            <w:proofErr w:type="gramEnd"/>
            <w:r w:rsidRPr="00AC1114">
              <w:rPr>
                <w:b/>
                <w:bCs/>
                <w:color w:val="auto"/>
              </w:rPr>
              <w:t>енге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9 036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8 573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-5%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8 581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8 124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-5%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43 250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45 277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5%</w:t>
            </w:r>
          </w:p>
        </w:tc>
      </w:tr>
      <w:tr w:rsidR="00AC1114" w:rsidRPr="00AC1114" w:rsidTr="00AC1114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color w:val="auto"/>
              </w:rPr>
            </w:pPr>
            <w:r w:rsidRPr="00AC1114">
              <w:rPr>
                <w:color w:val="auto"/>
              </w:rPr>
              <w:t>1.4.1</w:t>
            </w:r>
          </w:p>
        </w:tc>
        <w:tc>
          <w:tcPr>
            <w:tcW w:w="3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rPr>
                <w:color w:val="auto"/>
              </w:rPr>
            </w:pPr>
            <w:r w:rsidRPr="00AC1114">
              <w:rPr>
                <w:color w:val="auto"/>
              </w:rPr>
              <w:t xml:space="preserve">  эл. энергия  на хоз. нужды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color w:val="auto"/>
              </w:rPr>
            </w:pPr>
            <w:r w:rsidRPr="00AC1114">
              <w:rPr>
                <w:color w:val="auto"/>
              </w:rPr>
              <w:t xml:space="preserve"> -//-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5 587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5 306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-5%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5 478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5 188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-5%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38 382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40 449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5%</w:t>
            </w:r>
          </w:p>
        </w:tc>
      </w:tr>
      <w:tr w:rsidR="00AC1114" w:rsidRPr="00AC1114" w:rsidTr="00AC1114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color w:val="auto"/>
              </w:rPr>
            </w:pPr>
            <w:r w:rsidRPr="00AC1114">
              <w:rPr>
                <w:color w:val="auto"/>
              </w:rPr>
              <w:t>1.4.2</w:t>
            </w:r>
          </w:p>
        </w:tc>
        <w:tc>
          <w:tcPr>
            <w:tcW w:w="3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rPr>
                <w:color w:val="auto"/>
              </w:rPr>
            </w:pPr>
            <w:r w:rsidRPr="00AC1114">
              <w:rPr>
                <w:color w:val="auto"/>
              </w:rPr>
              <w:t xml:space="preserve">  теп</w:t>
            </w:r>
            <w:proofErr w:type="gramStart"/>
            <w:r w:rsidRPr="00AC1114">
              <w:rPr>
                <w:color w:val="auto"/>
              </w:rPr>
              <w:t>.</w:t>
            </w:r>
            <w:proofErr w:type="gramEnd"/>
            <w:r w:rsidRPr="00AC1114">
              <w:rPr>
                <w:color w:val="auto"/>
              </w:rPr>
              <w:t xml:space="preserve"> </w:t>
            </w:r>
            <w:proofErr w:type="gramStart"/>
            <w:r w:rsidRPr="00AC1114">
              <w:rPr>
                <w:color w:val="auto"/>
              </w:rPr>
              <w:t>э</w:t>
            </w:r>
            <w:proofErr w:type="gramEnd"/>
            <w:r w:rsidRPr="00AC1114">
              <w:rPr>
                <w:color w:val="auto"/>
              </w:rPr>
              <w:t>нергия  на хоз. нужды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color w:val="auto"/>
              </w:rPr>
            </w:pPr>
            <w:r w:rsidRPr="00AC1114">
              <w:rPr>
                <w:color w:val="auto"/>
              </w:rPr>
              <w:t xml:space="preserve"> -//-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3 449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3 267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-5%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3 103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2 936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-5%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4 868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4 828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-1%</w:t>
            </w:r>
          </w:p>
        </w:tc>
      </w:tr>
      <w:tr w:rsidR="00AC1114" w:rsidRPr="00AC1114" w:rsidTr="00AC1114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2</w:t>
            </w:r>
          </w:p>
        </w:tc>
        <w:tc>
          <w:tcPr>
            <w:tcW w:w="3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Затраты на оплату труда, 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b/>
                <w:bCs/>
                <w:color w:val="auto"/>
              </w:rPr>
            </w:pPr>
            <w:proofErr w:type="spellStart"/>
            <w:r w:rsidRPr="00AC1114">
              <w:rPr>
                <w:b/>
                <w:bCs/>
                <w:color w:val="auto"/>
              </w:rPr>
              <w:t>тыс</w:t>
            </w:r>
            <w:proofErr w:type="gramStart"/>
            <w:r w:rsidRPr="00AC1114">
              <w:rPr>
                <w:b/>
                <w:bCs/>
                <w:color w:val="auto"/>
              </w:rPr>
              <w:t>.т</w:t>
            </w:r>
            <w:proofErr w:type="gramEnd"/>
            <w:r w:rsidRPr="00AC1114">
              <w:rPr>
                <w:b/>
                <w:bCs/>
                <w:color w:val="auto"/>
              </w:rPr>
              <w:t>енге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292 533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343 913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18%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191 666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219 235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14%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470 287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566 085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20%</w:t>
            </w:r>
          </w:p>
        </w:tc>
      </w:tr>
      <w:tr w:rsidR="00AC1114" w:rsidRPr="00AC1114" w:rsidTr="00AC1114">
        <w:trPr>
          <w:trHeight w:val="5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color w:val="auto"/>
              </w:rPr>
            </w:pPr>
            <w:r w:rsidRPr="00AC1114">
              <w:rPr>
                <w:color w:val="auto"/>
              </w:rPr>
              <w:t>2.1</w:t>
            </w:r>
          </w:p>
        </w:tc>
        <w:tc>
          <w:tcPr>
            <w:tcW w:w="3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114" w:rsidRPr="00AC1114" w:rsidRDefault="00AC1114" w:rsidP="00AC1114">
            <w:pPr>
              <w:rPr>
                <w:color w:val="auto"/>
              </w:rPr>
            </w:pPr>
            <w:r w:rsidRPr="00AC1114">
              <w:rPr>
                <w:color w:val="auto"/>
              </w:rPr>
              <w:t xml:space="preserve">  заработная плата производственного персонала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color w:val="auto"/>
              </w:rPr>
            </w:pPr>
            <w:r w:rsidRPr="00AC1114">
              <w:rPr>
                <w:color w:val="auto"/>
              </w:rPr>
              <w:t xml:space="preserve"> -//-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265 215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311 292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17%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174 242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199 407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14%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418 892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504 239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20%</w:t>
            </w:r>
          </w:p>
        </w:tc>
      </w:tr>
      <w:tr w:rsidR="00AC1114" w:rsidRPr="00AC1114" w:rsidTr="00AC1114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color w:val="auto"/>
              </w:rPr>
            </w:pPr>
            <w:r w:rsidRPr="00AC1114">
              <w:rPr>
                <w:color w:val="auto"/>
              </w:rPr>
              <w:t>2.2</w:t>
            </w:r>
          </w:p>
        </w:tc>
        <w:tc>
          <w:tcPr>
            <w:tcW w:w="3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114" w:rsidRPr="00AC1114" w:rsidRDefault="00AC1114" w:rsidP="00AC1114">
            <w:pPr>
              <w:rPr>
                <w:color w:val="auto"/>
              </w:rPr>
            </w:pPr>
            <w:r w:rsidRPr="00AC1114">
              <w:rPr>
                <w:color w:val="auto"/>
              </w:rPr>
              <w:t xml:space="preserve">  социальный налог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color w:val="auto"/>
              </w:rPr>
            </w:pPr>
            <w:r w:rsidRPr="00AC1114">
              <w:rPr>
                <w:color w:val="auto"/>
              </w:rPr>
              <w:t xml:space="preserve"> -//-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27 318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32 621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19%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17 424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19 828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14%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41 470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52 445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26%</w:t>
            </w:r>
          </w:p>
        </w:tc>
      </w:tr>
      <w:tr w:rsidR="00AC1114" w:rsidRPr="00AC1114" w:rsidTr="00AC1114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center"/>
            </w:pPr>
            <w:r w:rsidRPr="00AC1114">
              <w:t>2.3</w:t>
            </w:r>
          </w:p>
        </w:tc>
        <w:tc>
          <w:tcPr>
            <w:tcW w:w="3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r w:rsidRPr="00AC1114">
              <w:t xml:space="preserve">  обязательные </w:t>
            </w:r>
            <w:proofErr w:type="spellStart"/>
            <w:r w:rsidRPr="00AC1114">
              <w:t>проф</w:t>
            </w:r>
            <w:proofErr w:type="gramStart"/>
            <w:r w:rsidRPr="00AC1114">
              <w:t>.п</w:t>
            </w:r>
            <w:proofErr w:type="gramEnd"/>
            <w:r w:rsidRPr="00AC1114">
              <w:t>енс.взносы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color w:val="auto"/>
              </w:rPr>
            </w:pPr>
            <w:r w:rsidRPr="00AC1114">
              <w:rPr>
                <w:color w:val="auto"/>
              </w:rPr>
              <w:t xml:space="preserve"> -//-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r w:rsidRPr="00AC111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r w:rsidRPr="00AC1114"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r w:rsidRPr="00AC1114"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r w:rsidRPr="00AC111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r w:rsidRPr="00AC111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r w:rsidRPr="00AC111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9 925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9 401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-5%</w:t>
            </w:r>
          </w:p>
        </w:tc>
      </w:tr>
      <w:tr w:rsidR="00AC1114" w:rsidRPr="00AC1114" w:rsidTr="00AC1114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3</w:t>
            </w:r>
          </w:p>
        </w:tc>
        <w:tc>
          <w:tcPr>
            <w:tcW w:w="3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Амортизация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b/>
                <w:bCs/>
                <w:color w:val="auto"/>
              </w:rPr>
            </w:pPr>
            <w:proofErr w:type="spellStart"/>
            <w:r w:rsidRPr="00AC1114">
              <w:rPr>
                <w:b/>
                <w:bCs/>
                <w:color w:val="auto"/>
              </w:rPr>
              <w:t>тыс</w:t>
            </w:r>
            <w:proofErr w:type="gramStart"/>
            <w:r w:rsidRPr="00AC1114">
              <w:rPr>
                <w:b/>
                <w:bCs/>
                <w:color w:val="auto"/>
              </w:rPr>
              <w:t>.т</w:t>
            </w:r>
            <w:proofErr w:type="gramEnd"/>
            <w:r w:rsidRPr="00AC1114">
              <w:rPr>
                <w:b/>
                <w:bCs/>
                <w:color w:val="auto"/>
              </w:rPr>
              <w:t>енге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405 917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396 496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-2%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95 610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126 387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32%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146 901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149 606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2%</w:t>
            </w:r>
          </w:p>
        </w:tc>
      </w:tr>
      <w:tr w:rsidR="00AC1114" w:rsidRPr="00AC1114" w:rsidTr="00AC1114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4</w:t>
            </w:r>
          </w:p>
        </w:tc>
        <w:tc>
          <w:tcPr>
            <w:tcW w:w="3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Ремонт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b/>
                <w:bCs/>
                <w:color w:val="auto"/>
              </w:rPr>
            </w:pPr>
            <w:proofErr w:type="spellStart"/>
            <w:r w:rsidRPr="00AC1114">
              <w:rPr>
                <w:b/>
                <w:bCs/>
                <w:color w:val="auto"/>
              </w:rPr>
              <w:t>тыс</w:t>
            </w:r>
            <w:proofErr w:type="gramStart"/>
            <w:r w:rsidRPr="00AC1114">
              <w:rPr>
                <w:b/>
                <w:bCs/>
                <w:color w:val="auto"/>
              </w:rPr>
              <w:t>.т</w:t>
            </w:r>
            <w:proofErr w:type="gramEnd"/>
            <w:r w:rsidRPr="00AC1114">
              <w:rPr>
                <w:b/>
                <w:bCs/>
                <w:color w:val="auto"/>
              </w:rPr>
              <w:t>енге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512 956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557 313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9%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321 122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356 310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11%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252 007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249 770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-1%</w:t>
            </w:r>
          </w:p>
        </w:tc>
      </w:tr>
      <w:tr w:rsidR="00AC1114" w:rsidRPr="00AC1114" w:rsidTr="00AC1114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5</w:t>
            </w:r>
          </w:p>
        </w:tc>
        <w:tc>
          <w:tcPr>
            <w:tcW w:w="3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Услуги сторонних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b/>
                <w:bCs/>
                <w:color w:val="auto"/>
              </w:rPr>
            </w:pPr>
            <w:proofErr w:type="spellStart"/>
            <w:r w:rsidRPr="00AC1114">
              <w:rPr>
                <w:b/>
                <w:bCs/>
                <w:color w:val="auto"/>
              </w:rPr>
              <w:t>тыс</w:t>
            </w:r>
            <w:proofErr w:type="gramStart"/>
            <w:r w:rsidRPr="00AC1114">
              <w:rPr>
                <w:b/>
                <w:bCs/>
                <w:color w:val="auto"/>
              </w:rPr>
              <w:t>.т</w:t>
            </w:r>
            <w:proofErr w:type="gramEnd"/>
            <w:r w:rsidRPr="00AC1114">
              <w:rPr>
                <w:b/>
                <w:bCs/>
                <w:color w:val="auto"/>
              </w:rPr>
              <w:t>енге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145 046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176 138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21%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55 831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66 989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20%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133 854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136 303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2%</w:t>
            </w:r>
          </w:p>
        </w:tc>
      </w:tr>
      <w:tr w:rsidR="00AC1114" w:rsidRPr="00AC1114" w:rsidTr="00AC1114">
        <w:trPr>
          <w:trHeight w:val="5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color w:val="auto"/>
              </w:rPr>
            </w:pPr>
            <w:r w:rsidRPr="00AC1114">
              <w:rPr>
                <w:color w:val="auto"/>
              </w:rPr>
              <w:t>5.1</w:t>
            </w:r>
          </w:p>
        </w:tc>
        <w:tc>
          <w:tcPr>
            <w:tcW w:w="3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114" w:rsidRPr="00AC1114" w:rsidRDefault="00AC1114" w:rsidP="00AC1114">
            <w:pPr>
              <w:rPr>
                <w:color w:val="auto"/>
              </w:rPr>
            </w:pPr>
            <w:r w:rsidRPr="00AC1114">
              <w:rPr>
                <w:color w:val="auto"/>
              </w:rPr>
              <w:t xml:space="preserve">  грузовой автотранспорт, услуги механизмов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color w:val="auto"/>
              </w:rPr>
            </w:pPr>
            <w:r w:rsidRPr="00AC1114">
              <w:rPr>
                <w:color w:val="auto"/>
              </w:rPr>
              <w:t xml:space="preserve"> -//-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123 819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149 985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21%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36 687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43 824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19%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77 971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80 022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3%</w:t>
            </w:r>
          </w:p>
        </w:tc>
      </w:tr>
      <w:tr w:rsidR="00AC1114" w:rsidRPr="00AC1114" w:rsidTr="00AC1114">
        <w:trPr>
          <w:trHeight w:val="27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color w:val="auto"/>
              </w:rPr>
            </w:pPr>
            <w:r w:rsidRPr="00AC1114">
              <w:rPr>
                <w:color w:val="auto"/>
              </w:rPr>
              <w:t>5.2</w:t>
            </w:r>
          </w:p>
        </w:tc>
        <w:tc>
          <w:tcPr>
            <w:tcW w:w="3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114" w:rsidRPr="00AC1114" w:rsidRDefault="00AC1114" w:rsidP="00AC1114">
            <w:pPr>
              <w:rPr>
                <w:color w:val="auto"/>
              </w:rPr>
            </w:pPr>
            <w:r w:rsidRPr="00AC1114">
              <w:rPr>
                <w:color w:val="auto"/>
              </w:rPr>
              <w:t xml:space="preserve">  расходы на тех. </w:t>
            </w:r>
            <w:proofErr w:type="spellStart"/>
            <w:r w:rsidRPr="00AC1114">
              <w:rPr>
                <w:color w:val="auto"/>
              </w:rPr>
              <w:t>хар-ки</w:t>
            </w:r>
            <w:proofErr w:type="spellEnd"/>
            <w:r w:rsidRPr="00AC1114">
              <w:rPr>
                <w:color w:val="auto"/>
              </w:rPr>
              <w:t>/</w:t>
            </w:r>
            <w:proofErr w:type="spellStart"/>
            <w:r w:rsidRPr="00AC1114">
              <w:rPr>
                <w:color w:val="auto"/>
              </w:rPr>
              <w:t>тех</w:t>
            </w:r>
            <w:proofErr w:type="gramStart"/>
            <w:r w:rsidRPr="00AC1114">
              <w:rPr>
                <w:color w:val="auto"/>
              </w:rPr>
              <w:t>.и</w:t>
            </w:r>
            <w:proofErr w:type="gramEnd"/>
            <w:r w:rsidRPr="00AC1114">
              <w:rPr>
                <w:color w:val="auto"/>
              </w:rPr>
              <w:t>нвентаризация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color w:val="auto"/>
              </w:rPr>
            </w:pPr>
            <w:r w:rsidRPr="00AC1114">
              <w:rPr>
                <w:color w:val="auto"/>
              </w:rPr>
              <w:t xml:space="preserve"> -//-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7 811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7 388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-5%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6 242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5 931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-5%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3 776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3 658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-3%</w:t>
            </w:r>
          </w:p>
        </w:tc>
      </w:tr>
      <w:tr w:rsidR="00AC1114" w:rsidRPr="00AC1114" w:rsidTr="00AC1114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color w:val="auto"/>
              </w:rPr>
            </w:pPr>
            <w:r w:rsidRPr="00AC1114">
              <w:rPr>
                <w:color w:val="auto"/>
              </w:rPr>
              <w:lastRenderedPageBreak/>
              <w:t>5.3</w:t>
            </w:r>
          </w:p>
        </w:tc>
        <w:tc>
          <w:tcPr>
            <w:tcW w:w="3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rPr>
                <w:color w:val="auto"/>
              </w:rPr>
            </w:pPr>
            <w:r w:rsidRPr="00AC1114">
              <w:rPr>
                <w:color w:val="auto"/>
              </w:rPr>
              <w:t xml:space="preserve">  охрана объекта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color w:val="auto"/>
              </w:rPr>
            </w:pPr>
            <w:r w:rsidRPr="00AC1114">
              <w:rPr>
                <w:color w:val="auto"/>
              </w:rPr>
              <w:t xml:space="preserve"> -//-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8 799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10 797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23%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5 914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5 607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-5%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27 273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28 764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5%</w:t>
            </w:r>
          </w:p>
        </w:tc>
      </w:tr>
      <w:tr w:rsidR="00AC1114" w:rsidRPr="00AC1114" w:rsidTr="00AC1114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color w:val="auto"/>
              </w:rPr>
            </w:pPr>
            <w:r w:rsidRPr="00AC1114">
              <w:rPr>
                <w:color w:val="auto"/>
              </w:rPr>
              <w:t>5.4</w:t>
            </w:r>
          </w:p>
        </w:tc>
        <w:tc>
          <w:tcPr>
            <w:tcW w:w="3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114" w:rsidRPr="00AC1114" w:rsidRDefault="00AC1114" w:rsidP="00AC1114">
            <w:pPr>
              <w:rPr>
                <w:color w:val="auto"/>
              </w:rPr>
            </w:pPr>
            <w:r w:rsidRPr="00AC1114">
              <w:rPr>
                <w:color w:val="auto"/>
              </w:rPr>
              <w:t xml:space="preserve">  пожарно-оперативное обслуживание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color w:val="auto"/>
              </w:rPr>
            </w:pPr>
            <w:r w:rsidRPr="00AC1114">
              <w:rPr>
                <w:color w:val="auto"/>
              </w:rPr>
              <w:t xml:space="preserve"> -//-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4 618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7 968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73%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6 988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11 626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66%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24 834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23 859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-4%</w:t>
            </w:r>
          </w:p>
        </w:tc>
      </w:tr>
      <w:tr w:rsidR="00AC1114" w:rsidRPr="00AC1114" w:rsidTr="00AC1114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6</w:t>
            </w:r>
          </w:p>
        </w:tc>
        <w:tc>
          <w:tcPr>
            <w:tcW w:w="3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C1114" w:rsidRPr="00AC1114" w:rsidRDefault="00AC1114" w:rsidP="00AC1114">
            <w:pPr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Плата за эмиссии в окружающую среду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b/>
                <w:bCs/>
                <w:color w:val="auto"/>
              </w:rPr>
            </w:pPr>
            <w:proofErr w:type="spellStart"/>
            <w:r w:rsidRPr="00AC1114">
              <w:rPr>
                <w:b/>
                <w:bCs/>
                <w:color w:val="auto"/>
              </w:rPr>
              <w:t>тыс</w:t>
            </w:r>
            <w:proofErr w:type="gramStart"/>
            <w:r w:rsidRPr="00AC1114">
              <w:rPr>
                <w:b/>
                <w:bCs/>
                <w:color w:val="auto"/>
              </w:rPr>
              <w:t>.т</w:t>
            </w:r>
            <w:proofErr w:type="gramEnd"/>
            <w:r w:rsidRPr="00AC1114">
              <w:rPr>
                <w:b/>
                <w:bCs/>
                <w:color w:val="auto"/>
              </w:rPr>
              <w:t>енге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128 552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121 834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-5%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51 366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48 735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-5%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82 618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92 506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12%</w:t>
            </w:r>
          </w:p>
        </w:tc>
      </w:tr>
      <w:tr w:rsidR="00AC1114" w:rsidRPr="00AC1114" w:rsidTr="00AC1114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7</w:t>
            </w:r>
          </w:p>
        </w:tc>
        <w:tc>
          <w:tcPr>
            <w:tcW w:w="3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Прочие затраты, 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b/>
                <w:bCs/>
                <w:color w:val="auto"/>
              </w:rPr>
            </w:pPr>
            <w:proofErr w:type="spellStart"/>
            <w:r w:rsidRPr="00AC1114">
              <w:rPr>
                <w:b/>
                <w:bCs/>
                <w:color w:val="auto"/>
              </w:rPr>
              <w:t>тыс</w:t>
            </w:r>
            <w:proofErr w:type="gramStart"/>
            <w:r w:rsidRPr="00AC1114">
              <w:rPr>
                <w:b/>
                <w:bCs/>
                <w:color w:val="auto"/>
              </w:rPr>
              <w:t>.т</w:t>
            </w:r>
            <w:proofErr w:type="gramEnd"/>
            <w:r w:rsidRPr="00AC1114">
              <w:rPr>
                <w:b/>
                <w:bCs/>
                <w:color w:val="auto"/>
              </w:rPr>
              <w:t>енге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39 322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39 655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1%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20 447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24 602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20%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160 895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164 060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2%</w:t>
            </w:r>
          </w:p>
        </w:tc>
      </w:tr>
      <w:tr w:rsidR="00AC1114" w:rsidRPr="00AC1114" w:rsidTr="00AC1114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b/>
                <w:bCs/>
              </w:rPr>
            </w:pPr>
            <w:r w:rsidRPr="00AC1114">
              <w:rPr>
                <w:b/>
                <w:bCs/>
              </w:rPr>
              <w:t>II</w:t>
            </w:r>
          </w:p>
        </w:tc>
        <w:tc>
          <w:tcPr>
            <w:tcW w:w="3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Расходы периода, 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b/>
                <w:bCs/>
                <w:color w:val="auto"/>
              </w:rPr>
            </w:pPr>
            <w:proofErr w:type="spellStart"/>
            <w:r w:rsidRPr="00AC1114">
              <w:rPr>
                <w:b/>
                <w:bCs/>
                <w:color w:val="auto"/>
              </w:rPr>
              <w:t>тыс</w:t>
            </w:r>
            <w:proofErr w:type="gramStart"/>
            <w:r w:rsidRPr="00AC1114">
              <w:rPr>
                <w:b/>
                <w:bCs/>
                <w:color w:val="auto"/>
              </w:rPr>
              <w:t>.т</w:t>
            </w:r>
            <w:proofErr w:type="gramEnd"/>
            <w:r w:rsidRPr="00AC1114">
              <w:rPr>
                <w:b/>
                <w:bCs/>
                <w:color w:val="auto"/>
              </w:rPr>
              <w:t>енге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149 859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184 032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23%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90 210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101 916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13%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143 424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150 108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5%</w:t>
            </w:r>
          </w:p>
        </w:tc>
      </w:tr>
      <w:tr w:rsidR="00AC1114" w:rsidRPr="00AC1114" w:rsidTr="00AC1114">
        <w:trPr>
          <w:trHeight w:val="5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8</w:t>
            </w:r>
          </w:p>
        </w:tc>
        <w:tc>
          <w:tcPr>
            <w:tcW w:w="3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C1114" w:rsidRPr="00AC1114" w:rsidRDefault="00AC1114" w:rsidP="00AC1114">
            <w:pPr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Общие административные расходы, 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b/>
                <w:bCs/>
                <w:color w:val="auto"/>
              </w:rPr>
            </w:pPr>
            <w:proofErr w:type="spellStart"/>
            <w:r w:rsidRPr="00AC1114">
              <w:rPr>
                <w:b/>
                <w:bCs/>
                <w:color w:val="auto"/>
              </w:rPr>
              <w:t>тыс</w:t>
            </w:r>
            <w:proofErr w:type="gramStart"/>
            <w:r w:rsidRPr="00AC1114">
              <w:rPr>
                <w:b/>
                <w:bCs/>
                <w:color w:val="auto"/>
              </w:rPr>
              <w:t>.т</w:t>
            </w:r>
            <w:proofErr w:type="gramEnd"/>
            <w:r w:rsidRPr="00AC1114">
              <w:rPr>
                <w:b/>
                <w:bCs/>
                <w:color w:val="auto"/>
              </w:rPr>
              <w:t>енге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149 185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183 237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23%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89 762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101 400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13%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142 518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148 811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4%</w:t>
            </w:r>
          </w:p>
        </w:tc>
      </w:tr>
      <w:tr w:rsidR="00AC1114" w:rsidRPr="00AC1114" w:rsidTr="00AC1114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color w:val="auto"/>
              </w:rPr>
            </w:pPr>
            <w:r w:rsidRPr="00AC1114">
              <w:rPr>
                <w:color w:val="auto"/>
              </w:rPr>
              <w:t>8.1</w:t>
            </w:r>
          </w:p>
        </w:tc>
        <w:tc>
          <w:tcPr>
            <w:tcW w:w="3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114" w:rsidRPr="00AC1114" w:rsidRDefault="00AC1114" w:rsidP="00AC1114">
            <w:pPr>
              <w:rPr>
                <w:color w:val="auto"/>
              </w:rPr>
            </w:pPr>
            <w:r w:rsidRPr="00AC1114">
              <w:rPr>
                <w:color w:val="auto"/>
              </w:rPr>
              <w:t xml:space="preserve">  - заработная плата адм. персонала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color w:val="auto"/>
              </w:rPr>
            </w:pPr>
            <w:r w:rsidRPr="00AC1114">
              <w:rPr>
                <w:color w:val="auto"/>
              </w:rPr>
              <w:t xml:space="preserve"> -//-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58 764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81 709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39%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48 861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56 301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15%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66 946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70 188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5%</w:t>
            </w:r>
          </w:p>
        </w:tc>
      </w:tr>
      <w:tr w:rsidR="00AC1114" w:rsidRPr="00AC1114" w:rsidTr="00AC1114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color w:val="auto"/>
              </w:rPr>
            </w:pPr>
            <w:r w:rsidRPr="00AC1114">
              <w:rPr>
                <w:color w:val="auto"/>
              </w:rPr>
              <w:t>8.2</w:t>
            </w:r>
          </w:p>
        </w:tc>
        <w:tc>
          <w:tcPr>
            <w:tcW w:w="3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114" w:rsidRPr="00AC1114" w:rsidRDefault="00AC1114" w:rsidP="00AC1114">
            <w:pPr>
              <w:rPr>
                <w:color w:val="auto"/>
              </w:rPr>
            </w:pPr>
            <w:r w:rsidRPr="00AC1114">
              <w:rPr>
                <w:color w:val="auto"/>
              </w:rPr>
              <w:t xml:space="preserve"> - социальный налог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color w:val="auto"/>
              </w:rPr>
            </w:pPr>
            <w:r w:rsidRPr="00AC1114">
              <w:rPr>
                <w:color w:val="auto"/>
              </w:rPr>
              <w:t xml:space="preserve"> -//-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6 054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8 225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36%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4 886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5 751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18%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6 628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6 989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5%</w:t>
            </w:r>
          </w:p>
        </w:tc>
      </w:tr>
      <w:tr w:rsidR="00AC1114" w:rsidRPr="00AC1114" w:rsidTr="00AC1114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color w:val="auto"/>
              </w:rPr>
            </w:pPr>
            <w:r w:rsidRPr="00AC1114">
              <w:rPr>
                <w:color w:val="auto"/>
              </w:rPr>
              <w:t>8.3</w:t>
            </w:r>
          </w:p>
        </w:tc>
        <w:tc>
          <w:tcPr>
            <w:tcW w:w="3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114" w:rsidRPr="00AC1114" w:rsidRDefault="00AC1114" w:rsidP="00AC1114">
            <w:pPr>
              <w:rPr>
                <w:color w:val="auto"/>
              </w:rPr>
            </w:pPr>
            <w:r w:rsidRPr="00AC1114">
              <w:rPr>
                <w:color w:val="auto"/>
              </w:rPr>
              <w:t xml:space="preserve"> - амортизация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color w:val="auto"/>
              </w:rPr>
            </w:pPr>
            <w:r w:rsidRPr="00AC1114">
              <w:rPr>
                <w:color w:val="auto"/>
              </w:rPr>
              <w:t xml:space="preserve"> -//-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10 798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11 374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5%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5 094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4 930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-3%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5 616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5 716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2%</w:t>
            </w:r>
          </w:p>
        </w:tc>
      </w:tr>
      <w:tr w:rsidR="00AC1114" w:rsidRPr="00AC1114" w:rsidTr="00AC1114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color w:val="auto"/>
              </w:rPr>
            </w:pPr>
            <w:r w:rsidRPr="00AC1114">
              <w:rPr>
                <w:color w:val="auto"/>
              </w:rPr>
              <w:t>8.4</w:t>
            </w:r>
          </w:p>
        </w:tc>
        <w:tc>
          <w:tcPr>
            <w:tcW w:w="3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rPr>
                <w:color w:val="auto"/>
              </w:rPr>
            </w:pPr>
            <w:r w:rsidRPr="00AC1114">
              <w:rPr>
                <w:color w:val="auto"/>
              </w:rPr>
              <w:t xml:space="preserve"> - налоговые платежи и сборы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color w:val="auto"/>
              </w:rPr>
            </w:pPr>
            <w:r w:rsidRPr="00AC1114">
              <w:rPr>
                <w:color w:val="auto"/>
              </w:rPr>
              <w:t xml:space="preserve"> -//-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40 891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39 959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-2%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15 725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15 255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-3%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24 643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25 174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2%</w:t>
            </w:r>
          </w:p>
        </w:tc>
      </w:tr>
      <w:tr w:rsidR="00AC1114" w:rsidRPr="00AC1114" w:rsidTr="00AC1114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color w:val="auto"/>
              </w:rPr>
            </w:pPr>
            <w:r w:rsidRPr="00AC1114">
              <w:rPr>
                <w:color w:val="auto"/>
              </w:rPr>
              <w:t>8.5</w:t>
            </w:r>
          </w:p>
        </w:tc>
        <w:tc>
          <w:tcPr>
            <w:tcW w:w="3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rPr>
                <w:color w:val="auto"/>
              </w:rPr>
            </w:pPr>
            <w:r w:rsidRPr="00AC1114">
              <w:rPr>
                <w:color w:val="auto"/>
              </w:rPr>
              <w:t xml:space="preserve"> - командировочные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color w:val="auto"/>
              </w:rPr>
            </w:pPr>
            <w:r w:rsidRPr="00AC1114">
              <w:rPr>
                <w:color w:val="auto"/>
              </w:rPr>
              <w:t xml:space="preserve"> -//-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1 084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1 084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0%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505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569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569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0%</w:t>
            </w:r>
          </w:p>
        </w:tc>
      </w:tr>
      <w:tr w:rsidR="00AC1114" w:rsidRPr="00AC1114" w:rsidTr="00AC1114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color w:val="auto"/>
              </w:rPr>
            </w:pPr>
            <w:r w:rsidRPr="00AC1114">
              <w:rPr>
                <w:color w:val="auto"/>
              </w:rPr>
              <w:t>8.6</w:t>
            </w:r>
          </w:p>
        </w:tc>
        <w:tc>
          <w:tcPr>
            <w:tcW w:w="3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114" w:rsidRPr="00AC1114" w:rsidRDefault="00AC1114" w:rsidP="00AC1114">
            <w:pPr>
              <w:rPr>
                <w:color w:val="auto"/>
              </w:rPr>
            </w:pPr>
            <w:r w:rsidRPr="00AC1114">
              <w:rPr>
                <w:color w:val="auto"/>
              </w:rPr>
              <w:t xml:space="preserve"> - коммунальные услуги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color w:val="auto"/>
              </w:rPr>
            </w:pPr>
            <w:r w:rsidRPr="00AC1114">
              <w:rPr>
                <w:color w:val="auto"/>
              </w:rPr>
              <w:t xml:space="preserve"> -//-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8 211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7 806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-5%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2 634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3 666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39%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14 648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13 916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-5%</w:t>
            </w:r>
          </w:p>
        </w:tc>
      </w:tr>
      <w:tr w:rsidR="00AC1114" w:rsidRPr="00AC1114" w:rsidTr="00AC1114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color w:val="auto"/>
              </w:rPr>
            </w:pPr>
            <w:r w:rsidRPr="00AC1114">
              <w:rPr>
                <w:color w:val="auto"/>
              </w:rPr>
              <w:t>8.7</w:t>
            </w:r>
          </w:p>
        </w:tc>
        <w:tc>
          <w:tcPr>
            <w:tcW w:w="3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rPr>
                <w:color w:val="auto"/>
              </w:rPr>
            </w:pPr>
            <w:r w:rsidRPr="00AC1114">
              <w:rPr>
                <w:color w:val="auto"/>
              </w:rPr>
              <w:t xml:space="preserve"> - услуги связи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color w:val="auto"/>
              </w:rPr>
            </w:pPr>
            <w:r w:rsidRPr="00AC1114">
              <w:rPr>
                <w:color w:val="auto"/>
              </w:rPr>
              <w:t xml:space="preserve"> -//-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922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43%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476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1 129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1 129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0%</w:t>
            </w:r>
          </w:p>
        </w:tc>
      </w:tr>
      <w:tr w:rsidR="00AC1114" w:rsidRPr="00AC1114" w:rsidTr="00AC1114">
        <w:trPr>
          <w:trHeight w:val="5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color w:val="auto"/>
              </w:rPr>
            </w:pPr>
            <w:r w:rsidRPr="00AC1114">
              <w:rPr>
                <w:color w:val="auto"/>
              </w:rPr>
              <w:t>8.8</w:t>
            </w:r>
          </w:p>
        </w:tc>
        <w:tc>
          <w:tcPr>
            <w:tcW w:w="3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114" w:rsidRPr="00AC1114" w:rsidRDefault="00AC1114" w:rsidP="00AC1114">
            <w:pPr>
              <w:rPr>
                <w:color w:val="auto"/>
              </w:rPr>
            </w:pPr>
            <w:r w:rsidRPr="00AC1114">
              <w:rPr>
                <w:color w:val="auto"/>
              </w:rPr>
              <w:t xml:space="preserve"> - услуги консалтинговые, аудиторские, маркетинговые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color w:val="auto"/>
              </w:rPr>
            </w:pPr>
            <w:r w:rsidRPr="00AC1114">
              <w:rPr>
                <w:color w:val="auto"/>
              </w:rPr>
              <w:t xml:space="preserve"> -//-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2 818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3 133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11%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1 864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2 021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5 005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5 115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2%</w:t>
            </w:r>
          </w:p>
        </w:tc>
      </w:tr>
      <w:tr w:rsidR="00AC1114" w:rsidRPr="00AC1114" w:rsidTr="00AC1114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color w:val="auto"/>
              </w:rPr>
            </w:pPr>
            <w:r w:rsidRPr="00AC1114">
              <w:rPr>
                <w:color w:val="auto"/>
              </w:rPr>
              <w:t>8.9</w:t>
            </w:r>
          </w:p>
        </w:tc>
        <w:tc>
          <w:tcPr>
            <w:tcW w:w="3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rPr>
                <w:color w:val="auto"/>
              </w:rPr>
            </w:pPr>
            <w:r w:rsidRPr="00AC1114">
              <w:rPr>
                <w:color w:val="auto"/>
              </w:rPr>
              <w:t xml:space="preserve"> - услуги банка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color w:val="auto"/>
              </w:rPr>
            </w:pPr>
            <w:r w:rsidRPr="00AC1114">
              <w:rPr>
                <w:color w:val="auto"/>
              </w:rPr>
              <w:t xml:space="preserve"> -//-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2 562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6 161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140%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1 532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2 457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60%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5 133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5 651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10%</w:t>
            </w:r>
          </w:p>
        </w:tc>
      </w:tr>
      <w:tr w:rsidR="00AC1114" w:rsidRPr="00AC1114" w:rsidTr="00AC1114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color w:val="auto"/>
              </w:rPr>
            </w:pPr>
            <w:r w:rsidRPr="00AC1114">
              <w:rPr>
                <w:color w:val="auto"/>
              </w:rPr>
              <w:t>8.10</w:t>
            </w:r>
          </w:p>
        </w:tc>
        <w:tc>
          <w:tcPr>
            <w:tcW w:w="3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114" w:rsidRPr="00AC1114" w:rsidRDefault="00AC1114" w:rsidP="00AC1114">
            <w:pPr>
              <w:rPr>
                <w:color w:val="auto"/>
              </w:rPr>
            </w:pPr>
            <w:r w:rsidRPr="00AC1114">
              <w:rPr>
                <w:color w:val="auto"/>
              </w:rPr>
              <w:t xml:space="preserve"> - страхование работников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color w:val="auto"/>
              </w:rPr>
            </w:pPr>
            <w:r w:rsidRPr="00AC1114">
              <w:rPr>
                <w:color w:val="auto"/>
              </w:rPr>
              <w:t xml:space="preserve"> -//-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2 082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2 660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28%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1 380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1 671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21%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3 907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3 756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</w:pPr>
            <w:r w:rsidRPr="00AC1114">
              <w:t>-4%</w:t>
            </w:r>
          </w:p>
        </w:tc>
      </w:tr>
      <w:tr w:rsidR="00AC1114" w:rsidRPr="00AC1114" w:rsidTr="00AC1114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8.11</w:t>
            </w:r>
          </w:p>
        </w:tc>
        <w:tc>
          <w:tcPr>
            <w:tcW w:w="3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 xml:space="preserve"> другие расходы, 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b/>
                <w:bCs/>
                <w:color w:val="auto"/>
              </w:rPr>
            </w:pPr>
            <w:proofErr w:type="spellStart"/>
            <w:r w:rsidRPr="00AC1114">
              <w:rPr>
                <w:b/>
                <w:bCs/>
                <w:color w:val="auto"/>
              </w:rPr>
              <w:t>тыс</w:t>
            </w:r>
            <w:proofErr w:type="gramStart"/>
            <w:r w:rsidRPr="00AC1114">
              <w:rPr>
                <w:b/>
                <w:bCs/>
                <w:color w:val="auto"/>
              </w:rPr>
              <w:t>.т</w:t>
            </w:r>
            <w:proofErr w:type="gramEnd"/>
            <w:r w:rsidRPr="00AC1114">
              <w:rPr>
                <w:b/>
                <w:bCs/>
                <w:color w:val="auto"/>
              </w:rPr>
              <w:t>енге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15 277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20 204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32%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6 805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8 365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8 294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10 608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28%</w:t>
            </w:r>
          </w:p>
        </w:tc>
      </w:tr>
      <w:tr w:rsidR="00AC1114" w:rsidRPr="00AC1114" w:rsidTr="00AC1114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9</w:t>
            </w:r>
          </w:p>
        </w:tc>
        <w:tc>
          <w:tcPr>
            <w:tcW w:w="3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Расходы по реализации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b/>
                <w:bCs/>
                <w:color w:val="auto"/>
              </w:rPr>
            </w:pPr>
            <w:proofErr w:type="spellStart"/>
            <w:r w:rsidRPr="00AC1114">
              <w:rPr>
                <w:b/>
                <w:bCs/>
                <w:color w:val="auto"/>
              </w:rPr>
              <w:t>тыс</w:t>
            </w:r>
            <w:proofErr w:type="gramStart"/>
            <w:r w:rsidRPr="00AC1114">
              <w:rPr>
                <w:b/>
                <w:bCs/>
                <w:color w:val="auto"/>
              </w:rPr>
              <w:t>.т</w:t>
            </w:r>
            <w:proofErr w:type="gramEnd"/>
            <w:r w:rsidRPr="00AC1114">
              <w:rPr>
                <w:b/>
                <w:bCs/>
                <w:color w:val="auto"/>
              </w:rPr>
              <w:t>енге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674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795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18%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516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15%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906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1 296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43%</w:t>
            </w:r>
          </w:p>
        </w:tc>
      </w:tr>
      <w:tr w:rsidR="00AC1114" w:rsidRPr="00AC1114" w:rsidTr="00AC1114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III</w:t>
            </w:r>
          </w:p>
        </w:tc>
        <w:tc>
          <w:tcPr>
            <w:tcW w:w="3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C1114" w:rsidRPr="00AC1114" w:rsidRDefault="00AC1114" w:rsidP="00AC1114">
            <w:pPr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 xml:space="preserve">Всего затрат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b/>
                <w:bCs/>
                <w:color w:val="auto"/>
              </w:rPr>
            </w:pPr>
            <w:proofErr w:type="spellStart"/>
            <w:r w:rsidRPr="00AC1114">
              <w:rPr>
                <w:b/>
                <w:bCs/>
                <w:color w:val="auto"/>
              </w:rPr>
              <w:t>тыс</w:t>
            </w:r>
            <w:proofErr w:type="gramStart"/>
            <w:r w:rsidRPr="00AC1114">
              <w:rPr>
                <w:b/>
                <w:bCs/>
                <w:color w:val="auto"/>
              </w:rPr>
              <w:t>.т</w:t>
            </w:r>
            <w:proofErr w:type="gramEnd"/>
            <w:r w:rsidRPr="00AC1114">
              <w:rPr>
                <w:b/>
                <w:bCs/>
                <w:color w:val="auto"/>
              </w:rPr>
              <w:t>енге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3 438 838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3 527 848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3%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1 601 554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1 676 769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2 550 478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2 681 011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5%</w:t>
            </w:r>
          </w:p>
        </w:tc>
      </w:tr>
      <w:tr w:rsidR="00AC1114" w:rsidRPr="00AC1114" w:rsidTr="00AC1114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IV</w:t>
            </w:r>
          </w:p>
        </w:tc>
        <w:tc>
          <w:tcPr>
            <w:tcW w:w="3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C1114" w:rsidRPr="00AC1114" w:rsidRDefault="00AC1114" w:rsidP="00AC1114">
            <w:pPr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Прибыль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b/>
                <w:bCs/>
                <w:color w:val="auto"/>
              </w:rPr>
            </w:pPr>
            <w:proofErr w:type="spellStart"/>
            <w:r w:rsidRPr="00AC1114">
              <w:rPr>
                <w:b/>
                <w:bCs/>
                <w:color w:val="auto"/>
              </w:rPr>
              <w:t>тыс</w:t>
            </w:r>
            <w:proofErr w:type="gramStart"/>
            <w:r w:rsidRPr="00AC1114">
              <w:rPr>
                <w:b/>
                <w:bCs/>
                <w:color w:val="auto"/>
              </w:rPr>
              <w:t>.т</w:t>
            </w:r>
            <w:proofErr w:type="gramEnd"/>
            <w:r w:rsidRPr="00AC1114">
              <w:rPr>
                <w:b/>
                <w:bCs/>
                <w:color w:val="auto"/>
              </w:rPr>
              <w:t>енге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46 473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-42 537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-192%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-217 193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-292 406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-35%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19 576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-332 596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-1799%</w:t>
            </w:r>
          </w:p>
        </w:tc>
      </w:tr>
      <w:tr w:rsidR="00AC1114" w:rsidRPr="00AC1114" w:rsidTr="00AC1114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V</w:t>
            </w:r>
          </w:p>
        </w:tc>
        <w:tc>
          <w:tcPr>
            <w:tcW w:w="3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AC1114" w:rsidRPr="00AC1114" w:rsidRDefault="00AC1114" w:rsidP="00AC1114">
            <w:pPr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 xml:space="preserve">Всего доходов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b/>
                <w:bCs/>
                <w:color w:val="auto"/>
              </w:rPr>
            </w:pPr>
            <w:proofErr w:type="spellStart"/>
            <w:r w:rsidRPr="00AC1114">
              <w:rPr>
                <w:b/>
                <w:bCs/>
                <w:color w:val="auto"/>
              </w:rPr>
              <w:t>тыс</w:t>
            </w:r>
            <w:proofErr w:type="gramStart"/>
            <w:r w:rsidRPr="00AC1114">
              <w:rPr>
                <w:b/>
                <w:bCs/>
                <w:color w:val="auto"/>
              </w:rPr>
              <w:t>.т</w:t>
            </w:r>
            <w:proofErr w:type="gramEnd"/>
            <w:r w:rsidRPr="00AC1114">
              <w:rPr>
                <w:b/>
                <w:bCs/>
                <w:color w:val="auto"/>
              </w:rPr>
              <w:t>енге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3 485 311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3 485 311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0%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1 384 360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1 384 362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2 570 054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2 348 415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-9%</w:t>
            </w:r>
          </w:p>
        </w:tc>
      </w:tr>
      <w:tr w:rsidR="00AC1114" w:rsidRPr="00AC1114" w:rsidTr="00AC1114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VI</w:t>
            </w:r>
          </w:p>
        </w:tc>
        <w:tc>
          <w:tcPr>
            <w:tcW w:w="33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C1114" w:rsidRPr="00AC1114" w:rsidRDefault="00AC1114" w:rsidP="00AC1114">
            <w:pPr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 xml:space="preserve">Объем оказываемых услуг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b/>
                <w:bCs/>
                <w:color w:val="auto"/>
              </w:rPr>
            </w:pPr>
            <w:proofErr w:type="spellStart"/>
            <w:r w:rsidRPr="00AC1114">
              <w:rPr>
                <w:b/>
                <w:bCs/>
                <w:color w:val="auto"/>
              </w:rPr>
              <w:t>тыс</w:t>
            </w:r>
            <w:proofErr w:type="gramStart"/>
            <w:r w:rsidRPr="00AC1114">
              <w:rPr>
                <w:b/>
                <w:bCs/>
                <w:color w:val="auto"/>
              </w:rPr>
              <w:t>.Г</w:t>
            </w:r>
            <w:proofErr w:type="gramEnd"/>
            <w:r w:rsidRPr="00AC1114">
              <w:rPr>
                <w:b/>
                <w:bCs/>
                <w:color w:val="auto"/>
              </w:rPr>
              <w:t>кал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2 209,048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2 209,048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0%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903,196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903,196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1 547,458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1 547,458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0%</w:t>
            </w:r>
          </w:p>
        </w:tc>
      </w:tr>
      <w:tr w:rsidR="00AC1114" w:rsidRPr="00AC1114" w:rsidTr="00AC1114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 </w:t>
            </w:r>
          </w:p>
        </w:tc>
        <w:tc>
          <w:tcPr>
            <w:tcW w:w="33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1114" w:rsidRPr="00AC1114" w:rsidRDefault="00AC1114" w:rsidP="00AC1114">
            <w:pPr>
              <w:rPr>
                <w:b/>
                <w:bCs/>
                <w:color w:val="auto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b/>
                <w:bCs/>
                <w:color w:val="auto"/>
              </w:rPr>
            </w:pPr>
            <w:proofErr w:type="spellStart"/>
            <w:r w:rsidRPr="00AC1114">
              <w:rPr>
                <w:b/>
                <w:bCs/>
                <w:color w:val="auto"/>
              </w:rPr>
              <w:t>тыс</w:t>
            </w:r>
            <w:proofErr w:type="gramStart"/>
            <w:r w:rsidRPr="00AC1114">
              <w:rPr>
                <w:b/>
                <w:bCs/>
                <w:color w:val="auto"/>
              </w:rPr>
              <w:t>.т</w:t>
            </w:r>
            <w:proofErr w:type="gramEnd"/>
            <w:r w:rsidRPr="00AC1114">
              <w:rPr>
                <w:b/>
                <w:bCs/>
                <w:color w:val="auto"/>
              </w:rPr>
              <w:t>енге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3 485 311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3 485 311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0%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1 384 362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1 384 362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2 570 054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2 348 415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-9%</w:t>
            </w:r>
          </w:p>
        </w:tc>
      </w:tr>
      <w:tr w:rsidR="00AC1114" w:rsidRPr="00AC1114" w:rsidTr="00AC1114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VII</w:t>
            </w:r>
          </w:p>
        </w:tc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C1114" w:rsidRPr="00AC1114" w:rsidRDefault="00AC1114" w:rsidP="00AC1114">
            <w:pPr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 xml:space="preserve">Тариф  </w:t>
            </w:r>
            <w:r w:rsidRPr="00AC1114">
              <w:rPr>
                <w:color w:val="auto"/>
              </w:rPr>
              <w:t>(без НДС)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C1114" w:rsidRPr="00AC1114" w:rsidRDefault="00AC1114" w:rsidP="00AC1114">
            <w:pPr>
              <w:jc w:val="center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тенге/Гкал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1 577,74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1 577,74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0%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1 532,74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1 532,74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1 660,82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1 517,60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C1114" w:rsidRPr="00AC1114" w:rsidRDefault="00AC1114" w:rsidP="00AC1114">
            <w:pPr>
              <w:jc w:val="right"/>
              <w:rPr>
                <w:b/>
                <w:bCs/>
                <w:color w:val="auto"/>
              </w:rPr>
            </w:pPr>
            <w:r w:rsidRPr="00AC1114">
              <w:rPr>
                <w:b/>
                <w:bCs/>
                <w:color w:val="auto"/>
              </w:rPr>
              <w:t>-9%</w:t>
            </w:r>
          </w:p>
        </w:tc>
      </w:tr>
    </w:tbl>
    <w:p w:rsidR="00AC1114" w:rsidRDefault="00AC1114" w:rsidP="002A47DF">
      <w:pPr>
        <w:pStyle w:val="a6"/>
        <w:spacing w:line="240" w:lineRule="auto"/>
        <w:ind w:left="1069"/>
        <w:rPr>
          <w:b/>
          <w:sz w:val="24"/>
          <w:szCs w:val="24"/>
        </w:rPr>
        <w:sectPr w:rsidR="00AC1114" w:rsidSect="00AC1114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2A47DF" w:rsidRPr="002A47DF" w:rsidRDefault="002A47DF" w:rsidP="002A47DF">
      <w:pPr>
        <w:pStyle w:val="a6"/>
        <w:spacing w:line="240" w:lineRule="auto"/>
        <w:ind w:left="1069"/>
        <w:rPr>
          <w:b/>
          <w:sz w:val="24"/>
          <w:szCs w:val="24"/>
        </w:rPr>
      </w:pPr>
      <w:r w:rsidRPr="002A47DF">
        <w:rPr>
          <w:b/>
          <w:sz w:val="24"/>
          <w:szCs w:val="24"/>
        </w:rPr>
        <w:lastRenderedPageBreak/>
        <w:t>Исполнение тарифной сметы по производству тепловой энергии ТЭЦ-3 АО «ПАВЛОДАРЭНЕРГО» за 2014 г.</w:t>
      </w:r>
    </w:p>
    <w:p w:rsidR="002A47DF" w:rsidRPr="002A47DF" w:rsidRDefault="002A47DF" w:rsidP="002A47DF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A47DF">
        <w:rPr>
          <w:sz w:val="24"/>
          <w:szCs w:val="24"/>
        </w:rPr>
        <w:t xml:space="preserve">Доходы от производства тепловой энергии составили 3 485 311 тыс. тенге. </w:t>
      </w:r>
    </w:p>
    <w:p w:rsidR="002A47DF" w:rsidRPr="002A47DF" w:rsidRDefault="002A47DF" w:rsidP="002A47DF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A47DF">
        <w:rPr>
          <w:sz w:val="24"/>
          <w:szCs w:val="24"/>
        </w:rPr>
        <w:t xml:space="preserve">Расходы от производства </w:t>
      </w:r>
      <w:proofErr w:type="spellStart"/>
      <w:r w:rsidRPr="002A47DF">
        <w:rPr>
          <w:sz w:val="24"/>
          <w:szCs w:val="24"/>
        </w:rPr>
        <w:t>теплоэнергии</w:t>
      </w:r>
      <w:proofErr w:type="spellEnd"/>
      <w:r w:rsidRPr="002A47DF">
        <w:rPr>
          <w:sz w:val="24"/>
          <w:szCs w:val="24"/>
        </w:rPr>
        <w:t xml:space="preserve"> – 3 527 848 тыс. тенге. План в тарифной смете, в пересчете на фактический объем производства 3 438 838 тыс. тенге. Образовался перерасход 89 009 тыс. тенге (3%). Основные статьи затрат:</w:t>
      </w:r>
    </w:p>
    <w:p w:rsidR="002A47DF" w:rsidRPr="002A47DF" w:rsidRDefault="002A47DF" w:rsidP="002A47DF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A47DF">
        <w:rPr>
          <w:b/>
          <w:sz w:val="24"/>
          <w:szCs w:val="24"/>
        </w:rPr>
        <w:t>Статья «Топливо».</w:t>
      </w:r>
      <w:r w:rsidRPr="002A47DF">
        <w:rPr>
          <w:sz w:val="24"/>
          <w:szCs w:val="24"/>
        </w:rPr>
        <w:t xml:space="preserve"> По данной статье экономия – 49 305 тыс. тенге. Основной причиной является тот факт, что в осенне-зимний период 2013-2014гг мазут приобретался по льготной цене.</w:t>
      </w:r>
    </w:p>
    <w:p w:rsidR="002A47DF" w:rsidRPr="002A47DF" w:rsidRDefault="002A47DF" w:rsidP="002A47DF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A47DF">
        <w:rPr>
          <w:sz w:val="24"/>
          <w:szCs w:val="24"/>
        </w:rPr>
        <w:t xml:space="preserve">По статьям </w:t>
      </w:r>
      <w:r w:rsidRPr="002A47DF">
        <w:rPr>
          <w:b/>
          <w:sz w:val="24"/>
          <w:szCs w:val="24"/>
        </w:rPr>
        <w:t>«</w:t>
      </w:r>
      <w:proofErr w:type="spellStart"/>
      <w:r w:rsidRPr="002A47DF">
        <w:rPr>
          <w:b/>
          <w:sz w:val="24"/>
          <w:szCs w:val="24"/>
        </w:rPr>
        <w:t>Тех</w:t>
      </w:r>
      <w:proofErr w:type="gramStart"/>
      <w:r w:rsidRPr="002A47DF">
        <w:rPr>
          <w:b/>
          <w:sz w:val="24"/>
          <w:szCs w:val="24"/>
        </w:rPr>
        <w:t>.в</w:t>
      </w:r>
      <w:proofErr w:type="gramEnd"/>
      <w:r w:rsidRPr="002A47DF">
        <w:rPr>
          <w:b/>
          <w:sz w:val="24"/>
          <w:szCs w:val="24"/>
        </w:rPr>
        <w:t>ода</w:t>
      </w:r>
      <w:proofErr w:type="spellEnd"/>
      <w:r w:rsidRPr="002A47DF">
        <w:rPr>
          <w:b/>
          <w:sz w:val="24"/>
          <w:szCs w:val="24"/>
        </w:rPr>
        <w:t>», «</w:t>
      </w:r>
      <w:proofErr w:type="spellStart"/>
      <w:r w:rsidRPr="002A47DF">
        <w:rPr>
          <w:b/>
          <w:sz w:val="24"/>
          <w:szCs w:val="24"/>
        </w:rPr>
        <w:t>Хим.реагенты</w:t>
      </w:r>
      <w:proofErr w:type="spellEnd"/>
      <w:r w:rsidRPr="002A47DF">
        <w:rPr>
          <w:b/>
          <w:sz w:val="24"/>
          <w:szCs w:val="24"/>
        </w:rPr>
        <w:t xml:space="preserve">», «Энергия на </w:t>
      </w:r>
      <w:proofErr w:type="spellStart"/>
      <w:r w:rsidRPr="002A47DF">
        <w:rPr>
          <w:b/>
          <w:sz w:val="24"/>
          <w:szCs w:val="24"/>
        </w:rPr>
        <w:t>хоз.нужды</w:t>
      </w:r>
      <w:proofErr w:type="spellEnd"/>
      <w:r w:rsidRPr="002A47DF">
        <w:rPr>
          <w:b/>
          <w:sz w:val="24"/>
          <w:szCs w:val="24"/>
        </w:rPr>
        <w:t>», «Материалы на эксплуатацию»</w:t>
      </w:r>
      <w:r w:rsidRPr="002A47DF">
        <w:rPr>
          <w:sz w:val="24"/>
          <w:szCs w:val="24"/>
        </w:rPr>
        <w:t xml:space="preserve"> отклонения в пределах допустимых норм (до 5%).</w:t>
      </w:r>
    </w:p>
    <w:p w:rsidR="002A47DF" w:rsidRPr="002A47DF" w:rsidRDefault="002A47DF" w:rsidP="002A47DF">
      <w:pPr>
        <w:pStyle w:val="a6"/>
        <w:tabs>
          <w:tab w:val="left" w:pos="709"/>
        </w:tabs>
        <w:spacing w:line="240" w:lineRule="auto"/>
        <w:ind w:firstLine="720"/>
        <w:jc w:val="both"/>
        <w:rPr>
          <w:sz w:val="24"/>
          <w:szCs w:val="24"/>
        </w:rPr>
      </w:pPr>
      <w:r w:rsidRPr="002A47DF">
        <w:rPr>
          <w:b/>
          <w:sz w:val="24"/>
          <w:szCs w:val="24"/>
        </w:rPr>
        <w:t xml:space="preserve">Статья «Оплата труда с отчислениями». </w:t>
      </w:r>
      <w:r w:rsidRPr="002A47DF">
        <w:rPr>
          <w:sz w:val="24"/>
          <w:szCs w:val="24"/>
        </w:rPr>
        <w:t xml:space="preserve">По данной статье в утвержденной тарифной смете предусмотрены 292 533 тыс. тенге, по факту  343 913 тыс. тенге. Перерасход 51 380 тыс. тенге. При подаче заявки на утверждение тарифов затраты на оплату труда с отчислениями были заявлены в сумме 342 354 тыс. тенге. Средняя заработная плата рассчитывалась в размере 102 504 тенге на одного работника. В утвержденном тарифе средняя заработная плата составила 84 513 тенге. Согласно статистических данных за 2014 год средняя заработная плата по промышленным предприятиям </w:t>
      </w:r>
      <w:proofErr w:type="spellStart"/>
      <w:r w:rsidRPr="002A47DF">
        <w:rPr>
          <w:sz w:val="24"/>
          <w:szCs w:val="24"/>
        </w:rPr>
        <w:t>г</w:t>
      </w:r>
      <w:proofErr w:type="gramStart"/>
      <w:r w:rsidRPr="002A47DF">
        <w:rPr>
          <w:sz w:val="24"/>
          <w:szCs w:val="24"/>
        </w:rPr>
        <w:t>.П</w:t>
      </w:r>
      <w:proofErr w:type="gramEnd"/>
      <w:r w:rsidRPr="002A47DF">
        <w:rPr>
          <w:sz w:val="24"/>
          <w:szCs w:val="24"/>
        </w:rPr>
        <w:t>авлодара</w:t>
      </w:r>
      <w:proofErr w:type="spellEnd"/>
      <w:r w:rsidRPr="002A47DF">
        <w:rPr>
          <w:sz w:val="24"/>
          <w:szCs w:val="24"/>
        </w:rPr>
        <w:t xml:space="preserve"> – 127 440 тенге. Для предотвращения текучести кадров и сохранения уровня заработной платы АО «ПАВЛОДАРЭНЕРГО» вынуждено нести затраты по заработной плате выше учтенных в тарифной смете.</w:t>
      </w:r>
    </w:p>
    <w:p w:rsidR="002A47DF" w:rsidRPr="002A47DF" w:rsidRDefault="002A47DF" w:rsidP="002A47DF">
      <w:pPr>
        <w:pStyle w:val="a6"/>
        <w:tabs>
          <w:tab w:val="left" w:pos="709"/>
        </w:tabs>
        <w:spacing w:line="240" w:lineRule="auto"/>
        <w:ind w:firstLine="720"/>
        <w:jc w:val="both"/>
        <w:rPr>
          <w:sz w:val="24"/>
          <w:szCs w:val="24"/>
        </w:rPr>
      </w:pPr>
      <w:r w:rsidRPr="002A47DF">
        <w:rPr>
          <w:b/>
          <w:sz w:val="24"/>
          <w:szCs w:val="24"/>
        </w:rPr>
        <w:t xml:space="preserve">Статья «Амортизация». </w:t>
      </w:r>
      <w:r w:rsidRPr="002A47DF">
        <w:rPr>
          <w:sz w:val="24"/>
          <w:szCs w:val="24"/>
        </w:rPr>
        <w:t>По данной статье сложилась экономия в сумме 9 421 тыс. тенге (2%) в пределах допустимого уровня.</w:t>
      </w:r>
    </w:p>
    <w:p w:rsidR="002A47DF" w:rsidRPr="002A47DF" w:rsidRDefault="002A47DF" w:rsidP="002A47DF">
      <w:pPr>
        <w:pStyle w:val="a6"/>
        <w:tabs>
          <w:tab w:val="left" w:pos="709"/>
        </w:tabs>
        <w:spacing w:line="240" w:lineRule="auto"/>
        <w:ind w:firstLine="720"/>
        <w:jc w:val="both"/>
        <w:rPr>
          <w:sz w:val="24"/>
          <w:szCs w:val="24"/>
        </w:rPr>
      </w:pPr>
      <w:r w:rsidRPr="002A47DF">
        <w:rPr>
          <w:b/>
          <w:sz w:val="24"/>
          <w:szCs w:val="24"/>
        </w:rPr>
        <w:t xml:space="preserve">Статья «Затраты на ремонт основных средств». </w:t>
      </w:r>
      <w:r w:rsidRPr="002A47DF">
        <w:rPr>
          <w:sz w:val="24"/>
          <w:szCs w:val="24"/>
        </w:rPr>
        <w:t>Затраты на ремонт превысили затраты, утвержденные тарифной сметой на 44 357 тыс. тенге. При подаче заявки на утверждение тарифов, кроме текущих и капитальных ремонтов основных средств, были предусмотрены затраты на услуги по обслуживанию оборудования подрядными организациями, но при утверждении тарифной сметы эти затраты не были учтены.</w:t>
      </w:r>
    </w:p>
    <w:p w:rsidR="002A47DF" w:rsidRPr="002A47DF" w:rsidRDefault="002A47DF" w:rsidP="002A47DF">
      <w:pPr>
        <w:pStyle w:val="a6"/>
        <w:tabs>
          <w:tab w:val="left" w:pos="709"/>
        </w:tabs>
        <w:spacing w:line="240" w:lineRule="auto"/>
        <w:ind w:firstLine="720"/>
        <w:jc w:val="both"/>
        <w:rPr>
          <w:sz w:val="24"/>
          <w:szCs w:val="24"/>
        </w:rPr>
      </w:pPr>
      <w:r w:rsidRPr="002A47DF">
        <w:rPr>
          <w:b/>
          <w:sz w:val="24"/>
          <w:szCs w:val="24"/>
        </w:rPr>
        <w:t xml:space="preserve">Статья «Услуги сторонних организаций». </w:t>
      </w:r>
      <w:r w:rsidRPr="002A47DF">
        <w:rPr>
          <w:sz w:val="24"/>
          <w:szCs w:val="24"/>
        </w:rPr>
        <w:t xml:space="preserve">По данной статье образовался перерасход в сумме 31 092 тыс. тенге. Основной причиной перерасхода послужили затраты на </w:t>
      </w:r>
      <w:r w:rsidRPr="002A47DF">
        <w:rPr>
          <w:b/>
          <w:sz w:val="24"/>
          <w:szCs w:val="24"/>
        </w:rPr>
        <w:t>услуги грузового автотранспорта</w:t>
      </w:r>
      <w:r w:rsidRPr="002A47DF">
        <w:rPr>
          <w:sz w:val="24"/>
          <w:szCs w:val="24"/>
        </w:rPr>
        <w:t>. Перерасход складывается за счет использования  бульдозеров с более высокой производительностью, что влечет за собой увеличение стоимости оказанных услуг. А также удорожание стоимости услуг повлекло перерасход.</w:t>
      </w:r>
    </w:p>
    <w:p w:rsidR="002A47DF" w:rsidRPr="002A47DF" w:rsidRDefault="002A47DF" w:rsidP="002A47DF">
      <w:pPr>
        <w:pStyle w:val="a6"/>
        <w:spacing w:line="240" w:lineRule="auto"/>
        <w:ind w:firstLine="720"/>
        <w:jc w:val="both"/>
        <w:rPr>
          <w:sz w:val="24"/>
          <w:szCs w:val="24"/>
        </w:rPr>
      </w:pPr>
      <w:r w:rsidRPr="002A47DF">
        <w:rPr>
          <w:b/>
          <w:sz w:val="24"/>
          <w:szCs w:val="24"/>
        </w:rPr>
        <w:t>Расходы периода.</w:t>
      </w:r>
      <w:r w:rsidRPr="002A47DF">
        <w:rPr>
          <w:sz w:val="24"/>
          <w:szCs w:val="24"/>
        </w:rPr>
        <w:t xml:space="preserve"> В целом по расходам периода образовался перерасход на сумму 34 173 тыс. тенге, в том числе по общим административным расходам 34 052 тыс. тенге, по расходам по реализации – 121 тыс. тенге.</w:t>
      </w:r>
    </w:p>
    <w:p w:rsidR="002A47DF" w:rsidRPr="002A47DF" w:rsidRDefault="002A47DF" w:rsidP="002A47DF">
      <w:pPr>
        <w:pStyle w:val="a6"/>
        <w:tabs>
          <w:tab w:val="left" w:pos="709"/>
        </w:tabs>
        <w:spacing w:line="240" w:lineRule="auto"/>
        <w:ind w:firstLine="720"/>
        <w:jc w:val="both"/>
        <w:rPr>
          <w:sz w:val="24"/>
          <w:szCs w:val="24"/>
        </w:rPr>
      </w:pPr>
      <w:r w:rsidRPr="002A47DF">
        <w:rPr>
          <w:sz w:val="24"/>
          <w:szCs w:val="24"/>
        </w:rPr>
        <w:t xml:space="preserve"> Основной причиной перерасхода являются </w:t>
      </w:r>
      <w:r w:rsidRPr="002A47DF">
        <w:rPr>
          <w:b/>
          <w:sz w:val="24"/>
          <w:szCs w:val="24"/>
        </w:rPr>
        <w:t>затраты на оплату труда</w:t>
      </w:r>
      <w:r w:rsidRPr="002A47DF">
        <w:rPr>
          <w:sz w:val="24"/>
          <w:szCs w:val="24"/>
        </w:rPr>
        <w:t xml:space="preserve"> административного персонала (перерасход 25 116 тыс. тенге).</w:t>
      </w:r>
    </w:p>
    <w:p w:rsidR="002A47DF" w:rsidRPr="002A47DF" w:rsidRDefault="002A47DF" w:rsidP="002A47DF">
      <w:pPr>
        <w:pStyle w:val="a6"/>
        <w:spacing w:line="240" w:lineRule="auto"/>
        <w:ind w:firstLine="720"/>
        <w:jc w:val="both"/>
        <w:rPr>
          <w:sz w:val="24"/>
          <w:szCs w:val="24"/>
        </w:rPr>
      </w:pPr>
      <w:r w:rsidRPr="002A47DF">
        <w:rPr>
          <w:b/>
          <w:sz w:val="24"/>
          <w:szCs w:val="24"/>
        </w:rPr>
        <w:t xml:space="preserve">Статья «Услуги банка». </w:t>
      </w:r>
      <w:r w:rsidRPr="002A47DF">
        <w:rPr>
          <w:sz w:val="24"/>
          <w:szCs w:val="24"/>
        </w:rPr>
        <w:t xml:space="preserve">Перерасход в сумме 3 599 тыс. тенге по данной статье сложился в связи с увеличением валютных операций. </w:t>
      </w:r>
    </w:p>
    <w:p w:rsidR="002A47DF" w:rsidRPr="002A47DF" w:rsidRDefault="002A47DF" w:rsidP="002A47DF">
      <w:pPr>
        <w:pStyle w:val="a6"/>
        <w:spacing w:line="240" w:lineRule="auto"/>
        <w:ind w:firstLine="720"/>
        <w:jc w:val="both"/>
        <w:rPr>
          <w:sz w:val="24"/>
          <w:szCs w:val="24"/>
        </w:rPr>
      </w:pPr>
      <w:r w:rsidRPr="002A47DF">
        <w:rPr>
          <w:b/>
          <w:sz w:val="24"/>
          <w:szCs w:val="24"/>
        </w:rPr>
        <w:t>Статья «Другие расходы»</w:t>
      </w:r>
      <w:r w:rsidRPr="002A47DF">
        <w:rPr>
          <w:sz w:val="24"/>
          <w:szCs w:val="24"/>
        </w:rPr>
        <w:t xml:space="preserve"> - перерасход составил 4 927 тыс. тенге, в связи с превышением объема услуг.</w:t>
      </w:r>
      <w:r w:rsidRPr="002A47DF">
        <w:rPr>
          <w:sz w:val="24"/>
          <w:szCs w:val="24"/>
        </w:rPr>
        <w:tab/>
      </w:r>
      <w:r w:rsidRPr="002A47DF">
        <w:rPr>
          <w:sz w:val="24"/>
          <w:szCs w:val="24"/>
        </w:rPr>
        <w:tab/>
      </w:r>
    </w:p>
    <w:p w:rsidR="002A47DF" w:rsidRPr="002A47DF" w:rsidRDefault="002A47DF" w:rsidP="002A47DF">
      <w:pPr>
        <w:pStyle w:val="a6"/>
        <w:spacing w:line="240" w:lineRule="auto"/>
        <w:ind w:firstLine="720"/>
        <w:jc w:val="both"/>
        <w:rPr>
          <w:sz w:val="24"/>
          <w:szCs w:val="24"/>
        </w:rPr>
      </w:pPr>
    </w:p>
    <w:p w:rsidR="002A47DF" w:rsidRPr="002A47DF" w:rsidRDefault="002A47DF" w:rsidP="002A47DF">
      <w:pPr>
        <w:pStyle w:val="a6"/>
        <w:spacing w:line="240" w:lineRule="auto"/>
        <w:ind w:left="1069"/>
        <w:rPr>
          <w:b/>
          <w:sz w:val="24"/>
          <w:szCs w:val="24"/>
        </w:rPr>
      </w:pPr>
      <w:r w:rsidRPr="002A47DF">
        <w:rPr>
          <w:b/>
          <w:sz w:val="24"/>
          <w:szCs w:val="24"/>
        </w:rPr>
        <w:t>Исполнение тарифной сметы по производству тепловой энергии ТЭЦ-2 АО «ПАВЛОДАРЭНЕРГО» за 2014 г.</w:t>
      </w:r>
    </w:p>
    <w:p w:rsidR="002A47DF" w:rsidRPr="002A47DF" w:rsidRDefault="002A47DF" w:rsidP="002A47DF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A47DF">
        <w:rPr>
          <w:sz w:val="24"/>
          <w:szCs w:val="24"/>
        </w:rPr>
        <w:t xml:space="preserve">Доходы от производства тепловой энергии составили 3 485 311 тыс. тенге. </w:t>
      </w:r>
    </w:p>
    <w:p w:rsidR="002A47DF" w:rsidRPr="002A47DF" w:rsidRDefault="002A47DF" w:rsidP="002A47DF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A47DF">
        <w:rPr>
          <w:sz w:val="24"/>
          <w:szCs w:val="24"/>
        </w:rPr>
        <w:t xml:space="preserve">Расходы от производства </w:t>
      </w:r>
      <w:proofErr w:type="spellStart"/>
      <w:r w:rsidRPr="002A47DF">
        <w:rPr>
          <w:sz w:val="24"/>
          <w:szCs w:val="24"/>
        </w:rPr>
        <w:t>теплоэнергии</w:t>
      </w:r>
      <w:proofErr w:type="spellEnd"/>
      <w:r w:rsidRPr="002A47DF">
        <w:rPr>
          <w:sz w:val="24"/>
          <w:szCs w:val="24"/>
        </w:rPr>
        <w:t xml:space="preserve"> – 3 527 848 тыс. тенге. План в тарифной смете, в пересчете на фактический объем производства 3 438 838 тыс. тенге. Образовался перерасход 89 009 тыс. тенге (3%). Основные статьи затрат:</w:t>
      </w:r>
    </w:p>
    <w:p w:rsidR="002A47DF" w:rsidRPr="002A47DF" w:rsidRDefault="002A47DF" w:rsidP="002A47DF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A47DF">
        <w:rPr>
          <w:b/>
          <w:sz w:val="24"/>
          <w:szCs w:val="24"/>
        </w:rPr>
        <w:t>Статья «Топливо».</w:t>
      </w:r>
      <w:r w:rsidRPr="002A47DF">
        <w:rPr>
          <w:sz w:val="24"/>
          <w:szCs w:val="24"/>
        </w:rPr>
        <w:t xml:space="preserve"> По данной статье экономия – 39 385 тыс. тенге. Основной причиной является тот факт, что в осенне-зимний период 2013-2014гг мазут приобретался по льготной цене.</w:t>
      </w:r>
    </w:p>
    <w:p w:rsidR="002A47DF" w:rsidRPr="002A47DF" w:rsidRDefault="002A47DF" w:rsidP="002A47DF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A47DF">
        <w:rPr>
          <w:sz w:val="24"/>
          <w:szCs w:val="24"/>
        </w:rPr>
        <w:lastRenderedPageBreak/>
        <w:t xml:space="preserve">По статьям </w:t>
      </w:r>
      <w:r w:rsidRPr="002A47DF">
        <w:rPr>
          <w:b/>
          <w:sz w:val="24"/>
          <w:szCs w:val="24"/>
        </w:rPr>
        <w:t>«</w:t>
      </w:r>
      <w:proofErr w:type="spellStart"/>
      <w:r w:rsidRPr="002A47DF">
        <w:rPr>
          <w:b/>
          <w:sz w:val="24"/>
          <w:szCs w:val="24"/>
        </w:rPr>
        <w:t>Тех</w:t>
      </w:r>
      <w:proofErr w:type="gramStart"/>
      <w:r w:rsidRPr="002A47DF">
        <w:rPr>
          <w:b/>
          <w:sz w:val="24"/>
          <w:szCs w:val="24"/>
        </w:rPr>
        <w:t>.в</w:t>
      </w:r>
      <w:proofErr w:type="gramEnd"/>
      <w:r w:rsidRPr="002A47DF">
        <w:rPr>
          <w:b/>
          <w:sz w:val="24"/>
          <w:szCs w:val="24"/>
        </w:rPr>
        <w:t>ода</w:t>
      </w:r>
      <w:proofErr w:type="spellEnd"/>
      <w:r w:rsidRPr="002A47DF">
        <w:rPr>
          <w:b/>
          <w:sz w:val="24"/>
          <w:szCs w:val="24"/>
        </w:rPr>
        <w:t xml:space="preserve">», «Энергия на </w:t>
      </w:r>
      <w:proofErr w:type="spellStart"/>
      <w:r w:rsidRPr="002A47DF">
        <w:rPr>
          <w:b/>
          <w:sz w:val="24"/>
          <w:szCs w:val="24"/>
        </w:rPr>
        <w:t>хоз.нужды</w:t>
      </w:r>
      <w:proofErr w:type="spellEnd"/>
      <w:r w:rsidRPr="002A47DF">
        <w:rPr>
          <w:b/>
          <w:sz w:val="24"/>
          <w:szCs w:val="24"/>
        </w:rPr>
        <w:t>», «Материалы на эксплуатацию»</w:t>
      </w:r>
      <w:r w:rsidRPr="002A47DF">
        <w:rPr>
          <w:sz w:val="24"/>
          <w:szCs w:val="24"/>
        </w:rPr>
        <w:t xml:space="preserve"> отклонения в пределах допустимых норм (до 5%).</w:t>
      </w:r>
    </w:p>
    <w:p w:rsidR="002A47DF" w:rsidRPr="002A47DF" w:rsidRDefault="002A47DF" w:rsidP="002A47DF">
      <w:pPr>
        <w:pStyle w:val="a6"/>
        <w:tabs>
          <w:tab w:val="left" w:pos="709"/>
        </w:tabs>
        <w:spacing w:line="240" w:lineRule="auto"/>
        <w:ind w:firstLine="720"/>
        <w:jc w:val="both"/>
        <w:rPr>
          <w:sz w:val="24"/>
          <w:szCs w:val="24"/>
        </w:rPr>
      </w:pPr>
      <w:r w:rsidRPr="002A47DF">
        <w:rPr>
          <w:b/>
          <w:sz w:val="24"/>
          <w:szCs w:val="24"/>
        </w:rPr>
        <w:t xml:space="preserve">Статья «Оплата труда с отчислениями». </w:t>
      </w:r>
      <w:r w:rsidRPr="002A47DF">
        <w:rPr>
          <w:sz w:val="24"/>
          <w:szCs w:val="24"/>
        </w:rPr>
        <w:t xml:space="preserve">По данной статье в утвержденной тарифной смете предусмотрено 191 666 тыс. тенге, по факту 219 235 тыс. тенге. Перерасход 27 569 тыс. тенге. При подаче заявки на утверждение тарифов затраты на оплату труда с отчислениями были заявлены в сумме 234 633тыс. тенге. Средняя заработная плата рассчитывалась в размере 102 079 тенге на одного работника. В утвержденном тарифе средняя заработная плата составила 83 613 тенге. </w:t>
      </w:r>
      <w:proofErr w:type="gramStart"/>
      <w:r w:rsidRPr="002A47DF">
        <w:rPr>
          <w:sz w:val="24"/>
          <w:szCs w:val="24"/>
        </w:rPr>
        <w:t>Согласно</w:t>
      </w:r>
      <w:proofErr w:type="gramEnd"/>
      <w:r w:rsidRPr="002A47DF">
        <w:rPr>
          <w:sz w:val="24"/>
          <w:szCs w:val="24"/>
        </w:rPr>
        <w:t xml:space="preserve"> статистических данных за 2014 год средняя заработная плата по промышленным предприятиям г. Павлодара – 127 440 тенге.  Для предотвращения текучести кадров и сохранения уровня заработной платы АО «ПАВЛОДАРЭНЕРГО»  вынуждено нести  затраты по заработной плате выше учтенных в тарифной смете.</w:t>
      </w:r>
    </w:p>
    <w:p w:rsidR="002A47DF" w:rsidRPr="002A47DF" w:rsidRDefault="002A47DF" w:rsidP="002A47DF">
      <w:pPr>
        <w:pStyle w:val="a6"/>
        <w:spacing w:line="240" w:lineRule="auto"/>
        <w:ind w:firstLine="709"/>
        <w:jc w:val="both"/>
        <w:rPr>
          <w:sz w:val="24"/>
          <w:szCs w:val="24"/>
        </w:rPr>
      </w:pPr>
      <w:r w:rsidRPr="002A47DF">
        <w:rPr>
          <w:b/>
          <w:sz w:val="24"/>
          <w:szCs w:val="24"/>
        </w:rPr>
        <w:t>Статья «Амортизация»</w:t>
      </w:r>
      <w:r w:rsidRPr="002A47DF">
        <w:rPr>
          <w:sz w:val="24"/>
          <w:szCs w:val="24"/>
        </w:rPr>
        <w:t xml:space="preserve">. По факту по данной статье сложился перерасход в сумме 30 777 тыс. тенге.  Основной причиной перерасхода стало занижение суммы в утвержденной тарифной смете по сравнению с проектом. При подаче заявки на утверждение тарифов затраты на амортизацию заявлены в сумме 129 025 тыс. тенге с учетом ввода новых объектов. При утверждении тарифной сметы данные затраты были приняты не в полном объеме в сумме 95 610 тыс. тенге, что ниже на 26 % по сравнению с проектом. </w:t>
      </w:r>
    </w:p>
    <w:p w:rsidR="002A47DF" w:rsidRPr="002A47DF" w:rsidRDefault="002A47DF" w:rsidP="002A47DF">
      <w:pPr>
        <w:pStyle w:val="a6"/>
        <w:tabs>
          <w:tab w:val="left" w:pos="709"/>
        </w:tabs>
        <w:spacing w:line="240" w:lineRule="auto"/>
        <w:ind w:firstLine="720"/>
        <w:jc w:val="both"/>
        <w:rPr>
          <w:sz w:val="24"/>
          <w:szCs w:val="24"/>
        </w:rPr>
      </w:pPr>
      <w:r w:rsidRPr="002A47DF">
        <w:rPr>
          <w:b/>
          <w:sz w:val="24"/>
          <w:szCs w:val="24"/>
        </w:rPr>
        <w:t xml:space="preserve">Статья «Затраты на ремонт основных средств». </w:t>
      </w:r>
      <w:r w:rsidRPr="002A47DF">
        <w:rPr>
          <w:sz w:val="24"/>
          <w:szCs w:val="24"/>
        </w:rPr>
        <w:t>Затраты на ремонт превысили затраты, утвержденные тарифной сметой на 35 188 тыс. тенге. При подаче заявки на утверждение тарифов, кроме текущих и капитальных ремонтов основных средств, были предусмотрены затраты на услуги по обслуживанию оборудования подрядными организациями, но при утверждении тарифной сметы эти затраты не были учтены.</w:t>
      </w:r>
    </w:p>
    <w:p w:rsidR="002A47DF" w:rsidRPr="002A47DF" w:rsidRDefault="002A47DF" w:rsidP="002A47DF">
      <w:pPr>
        <w:pStyle w:val="a6"/>
        <w:tabs>
          <w:tab w:val="left" w:pos="709"/>
        </w:tabs>
        <w:spacing w:line="240" w:lineRule="auto"/>
        <w:ind w:firstLine="720"/>
        <w:jc w:val="both"/>
        <w:rPr>
          <w:sz w:val="24"/>
          <w:szCs w:val="24"/>
        </w:rPr>
      </w:pPr>
      <w:r w:rsidRPr="002A47DF">
        <w:rPr>
          <w:b/>
          <w:sz w:val="24"/>
          <w:szCs w:val="24"/>
        </w:rPr>
        <w:t xml:space="preserve">Статья «Услуги сторонних организаций». </w:t>
      </w:r>
      <w:r w:rsidRPr="002A47DF">
        <w:rPr>
          <w:sz w:val="24"/>
          <w:szCs w:val="24"/>
        </w:rPr>
        <w:t xml:space="preserve">По данной статье образовался перерасход в сумме 11 158 тыс. тенге. Основной причиной перерасхода послужили затраты на </w:t>
      </w:r>
      <w:r w:rsidRPr="002A47DF">
        <w:rPr>
          <w:b/>
          <w:sz w:val="24"/>
          <w:szCs w:val="24"/>
        </w:rPr>
        <w:t>услуги грузового автотранспорта и пожарно-оперативное обслуживание</w:t>
      </w:r>
      <w:r w:rsidRPr="002A47DF">
        <w:rPr>
          <w:sz w:val="24"/>
          <w:szCs w:val="24"/>
        </w:rPr>
        <w:t>. Перерасход складывается за счет использования  бульдозеров с более высокой производительностью, что влечет за собой увеличение стоимости оказанных услуг. Затраты на пожарно-оперативное обслуживание в утвержденной тарифной смете занижены по сравнению с проектом, в связи с этим образовался перерасход.</w:t>
      </w:r>
    </w:p>
    <w:p w:rsidR="002A47DF" w:rsidRPr="002A47DF" w:rsidRDefault="002A47DF" w:rsidP="002A47DF">
      <w:pPr>
        <w:pStyle w:val="a6"/>
        <w:spacing w:line="240" w:lineRule="auto"/>
        <w:ind w:firstLine="720"/>
        <w:jc w:val="both"/>
        <w:rPr>
          <w:sz w:val="24"/>
          <w:szCs w:val="24"/>
        </w:rPr>
      </w:pPr>
      <w:r w:rsidRPr="002A47DF">
        <w:rPr>
          <w:b/>
          <w:sz w:val="24"/>
          <w:szCs w:val="24"/>
        </w:rPr>
        <w:t>Расходы периода.</w:t>
      </w:r>
      <w:r w:rsidRPr="002A47DF">
        <w:rPr>
          <w:sz w:val="24"/>
          <w:szCs w:val="24"/>
        </w:rPr>
        <w:t xml:space="preserve"> В целом по расходам периода образовался перерасход на сумму 11 706 тыс. тенге, в том числе по общим административным расходам 11 638 тыс. тенге, по расходам по реализации – 68 тыс. тенге.</w:t>
      </w:r>
    </w:p>
    <w:p w:rsidR="002A47DF" w:rsidRPr="002A47DF" w:rsidRDefault="002A47DF" w:rsidP="002A47DF">
      <w:pPr>
        <w:pStyle w:val="a6"/>
        <w:tabs>
          <w:tab w:val="left" w:pos="709"/>
        </w:tabs>
        <w:spacing w:line="240" w:lineRule="auto"/>
        <w:ind w:firstLine="720"/>
        <w:jc w:val="both"/>
        <w:rPr>
          <w:sz w:val="24"/>
          <w:szCs w:val="24"/>
        </w:rPr>
      </w:pPr>
      <w:r w:rsidRPr="002A47DF">
        <w:rPr>
          <w:sz w:val="24"/>
          <w:szCs w:val="24"/>
        </w:rPr>
        <w:t xml:space="preserve">Основной причиной перерасхода являются </w:t>
      </w:r>
      <w:r w:rsidRPr="002A47DF">
        <w:rPr>
          <w:b/>
          <w:sz w:val="24"/>
          <w:szCs w:val="24"/>
        </w:rPr>
        <w:t>затраты на оплату труда</w:t>
      </w:r>
      <w:r w:rsidRPr="002A47DF">
        <w:rPr>
          <w:sz w:val="24"/>
          <w:szCs w:val="24"/>
        </w:rPr>
        <w:t xml:space="preserve"> административного персонала (перерасход 8 305 тыс. тенге).</w:t>
      </w:r>
    </w:p>
    <w:p w:rsidR="002A47DF" w:rsidRPr="002A47DF" w:rsidRDefault="002A47DF" w:rsidP="002A47DF">
      <w:pPr>
        <w:pStyle w:val="a6"/>
        <w:spacing w:line="240" w:lineRule="auto"/>
        <w:ind w:firstLine="720"/>
        <w:jc w:val="both"/>
        <w:rPr>
          <w:sz w:val="24"/>
          <w:szCs w:val="24"/>
        </w:rPr>
      </w:pPr>
      <w:r w:rsidRPr="002A47DF">
        <w:rPr>
          <w:b/>
          <w:sz w:val="24"/>
          <w:szCs w:val="24"/>
        </w:rPr>
        <w:t xml:space="preserve">Статья «Услуги банка». </w:t>
      </w:r>
      <w:r w:rsidRPr="002A47DF">
        <w:rPr>
          <w:sz w:val="24"/>
          <w:szCs w:val="24"/>
        </w:rPr>
        <w:t xml:space="preserve">Перерасход в сумме 925 тыс. тенге по данной статье сложился в связи с увеличением валютных операций. </w:t>
      </w:r>
    </w:p>
    <w:p w:rsidR="002A47DF" w:rsidRPr="002A47DF" w:rsidRDefault="002A47DF" w:rsidP="002A47DF">
      <w:pPr>
        <w:pStyle w:val="a6"/>
        <w:spacing w:line="240" w:lineRule="auto"/>
        <w:ind w:firstLine="720"/>
        <w:jc w:val="both"/>
        <w:rPr>
          <w:sz w:val="24"/>
          <w:szCs w:val="24"/>
        </w:rPr>
      </w:pPr>
      <w:r w:rsidRPr="002A47DF">
        <w:rPr>
          <w:b/>
          <w:sz w:val="24"/>
          <w:szCs w:val="24"/>
        </w:rPr>
        <w:t>Статья «Другие расходы»</w:t>
      </w:r>
      <w:r w:rsidRPr="002A47DF">
        <w:rPr>
          <w:sz w:val="24"/>
          <w:szCs w:val="24"/>
        </w:rPr>
        <w:t xml:space="preserve"> - перерасход составил 1 560 тыс. тенге, в связи с превышением объема услуг.</w:t>
      </w:r>
      <w:r w:rsidRPr="002A47DF">
        <w:rPr>
          <w:sz w:val="24"/>
          <w:szCs w:val="24"/>
        </w:rPr>
        <w:tab/>
      </w:r>
      <w:r w:rsidRPr="002A47DF">
        <w:rPr>
          <w:sz w:val="24"/>
          <w:szCs w:val="24"/>
        </w:rPr>
        <w:tab/>
      </w:r>
    </w:p>
    <w:p w:rsidR="002A47DF" w:rsidRPr="002A47DF" w:rsidRDefault="002A47DF" w:rsidP="002A47DF">
      <w:pPr>
        <w:pStyle w:val="a6"/>
        <w:tabs>
          <w:tab w:val="left" w:pos="709"/>
        </w:tabs>
        <w:spacing w:line="240" w:lineRule="auto"/>
        <w:ind w:firstLine="720"/>
        <w:jc w:val="both"/>
        <w:rPr>
          <w:sz w:val="24"/>
          <w:szCs w:val="24"/>
        </w:rPr>
      </w:pPr>
    </w:p>
    <w:p w:rsidR="002A47DF" w:rsidRPr="002A47DF" w:rsidRDefault="002A47DF" w:rsidP="002A47DF">
      <w:pPr>
        <w:pStyle w:val="a6"/>
        <w:spacing w:line="240" w:lineRule="auto"/>
        <w:ind w:left="1069"/>
        <w:rPr>
          <w:b/>
          <w:sz w:val="24"/>
          <w:szCs w:val="24"/>
        </w:rPr>
      </w:pPr>
      <w:r w:rsidRPr="002A47DF">
        <w:rPr>
          <w:b/>
          <w:sz w:val="24"/>
          <w:szCs w:val="24"/>
        </w:rPr>
        <w:t>Исполнение тарифной сметы по производству тепловой энергии ЭТЭЦ АО «ПАВЛОДАРЭНЕРГО» за 2014 г.</w:t>
      </w:r>
    </w:p>
    <w:p w:rsidR="002A47DF" w:rsidRPr="002A47DF" w:rsidRDefault="002A47DF" w:rsidP="002A47DF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A47DF">
        <w:rPr>
          <w:sz w:val="24"/>
          <w:szCs w:val="24"/>
        </w:rPr>
        <w:t>Доходы от производства тепловой энергии составили 2 348 415 тыс. тенге. План в тарифной смете – 2 570 054 тыс. тенге.</w:t>
      </w:r>
    </w:p>
    <w:p w:rsidR="002A47DF" w:rsidRPr="002A47DF" w:rsidRDefault="002A47DF" w:rsidP="002A47DF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A47DF">
        <w:rPr>
          <w:sz w:val="24"/>
          <w:szCs w:val="24"/>
        </w:rPr>
        <w:t xml:space="preserve">Расходы от производства </w:t>
      </w:r>
      <w:proofErr w:type="spellStart"/>
      <w:r w:rsidRPr="002A47DF">
        <w:rPr>
          <w:sz w:val="24"/>
          <w:szCs w:val="24"/>
        </w:rPr>
        <w:t>теплоэнергии</w:t>
      </w:r>
      <w:proofErr w:type="spellEnd"/>
      <w:r w:rsidRPr="002A47DF">
        <w:rPr>
          <w:sz w:val="24"/>
          <w:szCs w:val="24"/>
        </w:rPr>
        <w:t xml:space="preserve"> – 2 550 478 тыс. тенге. План в тарифной смете, в пересчете на фактический объем производства 2 681 011 тыс. тенге. Образовался перерасход 130 533 тыс. тенге (5%). Основные статьи затрат:</w:t>
      </w:r>
    </w:p>
    <w:p w:rsidR="002A47DF" w:rsidRPr="002A47DF" w:rsidRDefault="002A47DF" w:rsidP="002A47DF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A47DF">
        <w:rPr>
          <w:b/>
          <w:sz w:val="24"/>
          <w:szCs w:val="24"/>
        </w:rPr>
        <w:t>Статья «Топливо».</w:t>
      </w:r>
      <w:r w:rsidRPr="002A47DF">
        <w:rPr>
          <w:sz w:val="24"/>
          <w:szCs w:val="24"/>
        </w:rPr>
        <w:t xml:space="preserve"> По данной статье перерасход – 6 878 тыс. тенге. Фактические затраты по углю превысили затраты, предусмотренные тарифной сметой в связи с увеличением расхода угля на производство. По затратам на мазут образовалась экономия 19 383 тыс. тенге. Основной причиной является тот факт, что в осенне-зимний период 2013-2014гг мазут приобретался по льготной цене.</w:t>
      </w:r>
    </w:p>
    <w:p w:rsidR="002A47DF" w:rsidRPr="002A47DF" w:rsidRDefault="002A47DF" w:rsidP="002A47DF">
      <w:pPr>
        <w:pStyle w:val="a6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2A47DF">
        <w:rPr>
          <w:b/>
          <w:sz w:val="24"/>
          <w:szCs w:val="24"/>
        </w:rPr>
        <w:lastRenderedPageBreak/>
        <w:t xml:space="preserve">Статья «Материалы на эксплуатацию». </w:t>
      </w:r>
      <w:r w:rsidRPr="002A47DF">
        <w:rPr>
          <w:sz w:val="24"/>
          <w:szCs w:val="24"/>
        </w:rPr>
        <w:t xml:space="preserve">По  статье  перерасход 2 797 тыс. тенге, отклонение 6%. Причина перерасхода – отклонения в цене материалов. Рост цен на инструмент (ключи гаечные разных размеров) составил 226% от учтенных в тарифе, метчики – на 166% кислород – на 107%, смазка </w:t>
      </w:r>
      <w:proofErr w:type="spellStart"/>
      <w:r w:rsidRPr="002A47DF">
        <w:rPr>
          <w:sz w:val="24"/>
          <w:szCs w:val="24"/>
        </w:rPr>
        <w:t>Литол</w:t>
      </w:r>
      <w:proofErr w:type="spellEnd"/>
      <w:r w:rsidRPr="002A47DF">
        <w:rPr>
          <w:sz w:val="24"/>
          <w:szCs w:val="24"/>
        </w:rPr>
        <w:t xml:space="preserve"> – на 103%, масло трансформаторное на 104%, микросхемы на 306%, реле </w:t>
      </w:r>
      <w:proofErr w:type="gramStart"/>
      <w:r w:rsidRPr="002A47DF">
        <w:rPr>
          <w:sz w:val="24"/>
          <w:szCs w:val="24"/>
        </w:rPr>
        <w:t>на</w:t>
      </w:r>
      <w:proofErr w:type="gramEnd"/>
      <w:r w:rsidRPr="002A47DF">
        <w:rPr>
          <w:sz w:val="24"/>
          <w:szCs w:val="24"/>
        </w:rPr>
        <w:t xml:space="preserve"> 525%.</w:t>
      </w:r>
    </w:p>
    <w:p w:rsidR="002A47DF" w:rsidRPr="002A47DF" w:rsidRDefault="002A47DF" w:rsidP="002A47DF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A47DF">
        <w:rPr>
          <w:sz w:val="24"/>
          <w:szCs w:val="24"/>
        </w:rPr>
        <w:t xml:space="preserve">По статьям </w:t>
      </w:r>
      <w:r w:rsidRPr="002A47DF">
        <w:rPr>
          <w:b/>
          <w:sz w:val="24"/>
          <w:szCs w:val="24"/>
        </w:rPr>
        <w:t>«</w:t>
      </w:r>
      <w:proofErr w:type="spellStart"/>
      <w:r w:rsidRPr="002A47DF">
        <w:rPr>
          <w:b/>
          <w:sz w:val="24"/>
          <w:szCs w:val="24"/>
        </w:rPr>
        <w:t>Тех</w:t>
      </w:r>
      <w:proofErr w:type="gramStart"/>
      <w:r w:rsidRPr="002A47DF">
        <w:rPr>
          <w:b/>
          <w:sz w:val="24"/>
          <w:szCs w:val="24"/>
        </w:rPr>
        <w:t>.в</w:t>
      </w:r>
      <w:proofErr w:type="gramEnd"/>
      <w:r w:rsidRPr="002A47DF">
        <w:rPr>
          <w:b/>
          <w:sz w:val="24"/>
          <w:szCs w:val="24"/>
        </w:rPr>
        <w:t>ода</w:t>
      </w:r>
      <w:proofErr w:type="spellEnd"/>
      <w:r w:rsidRPr="002A47DF">
        <w:rPr>
          <w:b/>
          <w:sz w:val="24"/>
          <w:szCs w:val="24"/>
        </w:rPr>
        <w:t>», «</w:t>
      </w:r>
      <w:proofErr w:type="spellStart"/>
      <w:r w:rsidRPr="002A47DF">
        <w:rPr>
          <w:b/>
          <w:sz w:val="24"/>
          <w:szCs w:val="24"/>
        </w:rPr>
        <w:t>Хим.реагенты</w:t>
      </w:r>
      <w:proofErr w:type="spellEnd"/>
      <w:r w:rsidRPr="002A47DF">
        <w:rPr>
          <w:b/>
          <w:sz w:val="24"/>
          <w:szCs w:val="24"/>
        </w:rPr>
        <w:t xml:space="preserve">», «Энергия на </w:t>
      </w:r>
      <w:proofErr w:type="spellStart"/>
      <w:r w:rsidRPr="002A47DF">
        <w:rPr>
          <w:b/>
          <w:sz w:val="24"/>
          <w:szCs w:val="24"/>
        </w:rPr>
        <w:t>хоз.нужды</w:t>
      </w:r>
      <w:proofErr w:type="spellEnd"/>
      <w:r w:rsidRPr="002A47DF">
        <w:rPr>
          <w:b/>
          <w:sz w:val="24"/>
          <w:szCs w:val="24"/>
        </w:rPr>
        <w:t xml:space="preserve">», «Услуги сторонних организаций» </w:t>
      </w:r>
      <w:r w:rsidRPr="002A47DF">
        <w:rPr>
          <w:sz w:val="24"/>
          <w:szCs w:val="24"/>
        </w:rPr>
        <w:t>отклонения в пределах допустимых норм (до 5%).</w:t>
      </w:r>
    </w:p>
    <w:p w:rsidR="002A47DF" w:rsidRPr="002A47DF" w:rsidRDefault="002A47DF" w:rsidP="002A47DF">
      <w:pPr>
        <w:pStyle w:val="a6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2A47DF">
        <w:rPr>
          <w:b/>
          <w:sz w:val="24"/>
          <w:szCs w:val="24"/>
        </w:rPr>
        <w:t xml:space="preserve">Статья «Оплата труда с отчислениями». </w:t>
      </w:r>
      <w:r w:rsidRPr="002A47DF">
        <w:rPr>
          <w:sz w:val="24"/>
          <w:szCs w:val="24"/>
        </w:rPr>
        <w:t xml:space="preserve">По данной статье в утвержденной тарифной смете предусмотрено 470 287 тыс. тенге, по факту 566 085 тыс. тенге. Перерасход 95 798 тыс. тенге. При расчете тарифа затраты на данную статью были заявлены в сумме 575 382 тыс. тенге. Средняя зарплата рассчитывалась в размере 104 457 тенге на одного работающего. В утвержденном тарифе средняя зарплата составила 88 386 тенге на одного человека. Согласно статистических данных за 2014 год средняя зарплата по промышленным предприятиям </w:t>
      </w:r>
      <w:proofErr w:type="spellStart"/>
      <w:r w:rsidRPr="002A47DF">
        <w:rPr>
          <w:sz w:val="24"/>
          <w:szCs w:val="24"/>
        </w:rPr>
        <w:t>г</w:t>
      </w:r>
      <w:proofErr w:type="gramStart"/>
      <w:r w:rsidRPr="002A47DF">
        <w:rPr>
          <w:sz w:val="24"/>
          <w:szCs w:val="24"/>
        </w:rPr>
        <w:t>.Э</w:t>
      </w:r>
      <w:proofErr w:type="gramEnd"/>
      <w:r w:rsidRPr="002A47DF">
        <w:rPr>
          <w:sz w:val="24"/>
          <w:szCs w:val="24"/>
        </w:rPr>
        <w:t>кибастуза</w:t>
      </w:r>
      <w:proofErr w:type="spellEnd"/>
      <w:r w:rsidRPr="002A47DF">
        <w:rPr>
          <w:sz w:val="24"/>
          <w:szCs w:val="24"/>
        </w:rPr>
        <w:t xml:space="preserve"> составила 111 992 тенге. Для предотвращения текучести кадров и сохранения уровня заработной платы АО «ПАВЛОДАРЭНЕРГО» вынуждено нести затраты по заработной плате выше учтенных в тарифной смете.</w:t>
      </w:r>
    </w:p>
    <w:p w:rsidR="002A47DF" w:rsidRPr="002A47DF" w:rsidRDefault="002A47DF" w:rsidP="002A47DF">
      <w:pPr>
        <w:pStyle w:val="a6"/>
        <w:tabs>
          <w:tab w:val="left" w:pos="709"/>
        </w:tabs>
        <w:spacing w:line="240" w:lineRule="auto"/>
        <w:ind w:firstLine="720"/>
        <w:jc w:val="both"/>
        <w:rPr>
          <w:sz w:val="24"/>
          <w:szCs w:val="24"/>
        </w:rPr>
      </w:pPr>
      <w:r w:rsidRPr="002A47DF">
        <w:rPr>
          <w:b/>
          <w:sz w:val="24"/>
          <w:szCs w:val="24"/>
        </w:rPr>
        <w:t xml:space="preserve">Статья «Амортизация». </w:t>
      </w:r>
      <w:r w:rsidRPr="002A47DF">
        <w:rPr>
          <w:sz w:val="24"/>
          <w:szCs w:val="24"/>
        </w:rPr>
        <w:t>По данной статье сложилась экономия в сумме 2 705 тыс. тенге (2%) в пределах допустимого уровня.</w:t>
      </w:r>
    </w:p>
    <w:p w:rsidR="002A47DF" w:rsidRPr="002A47DF" w:rsidRDefault="002A47DF" w:rsidP="002A47DF">
      <w:pPr>
        <w:pStyle w:val="a6"/>
        <w:tabs>
          <w:tab w:val="left" w:pos="709"/>
        </w:tabs>
        <w:spacing w:line="240" w:lineRule="auto"/>
        <w:ind w:firstLine="720"/>
        <w:jc w:val="both"/>
        <w:rPr>
          <w:color w:val="000000"/>
          <w:sz w:val="24"/>
          <w:szCs w:val="24"/>
        </w:rPr>
      </w:pPr>
      <w:r w:rsidRPr="002A47DF">
        <w:rPr>
          <w:b/>
          <w:sz w:val="24"/>
          <w:szCs w:val="24"/>
        </w:rPr>
        <w:t xml:space="preserve">Статья «Затраты на ремонт основных средств». </w:t>
      </w:r>
      <w:r w:rsidRPr="002A47DF">
        <w:rPr>
          <w:sz w:val="24"/>
          <w:szCs w:val="24"/>
        </w:rPr>
        <w:t>В утвержденной тарифной смете сумма по данной статье составляет 252 007 тыс. тенге, по факту  249 770 тыс. тенге. Отклонение 1</w:t>
      </w:r>
      <w:r w:rsidRPr="002A47DF">
        <w:rPr>
          <w:color w:val="000000"/>
          <w:sz w:val="24"/>
          <w:szCs w:val="24"/>
        </w:rPr>
        <w:t xml:space="preserve">%, в пределах норм. На ремонт </w:t>
      </w:r>
      <w:proofErr w:type="spellStart"/>
      <w:r w:rsidRPr="002A47DF">
        <w:rPr>
          <w:color w:val="000000"/>
          <w:sz w:val="24"/>
          <w:szCs w:val="24"/>
        </w:rPr>
        <w:t>котлоагрегатов</w:t>
      </w:r>
      <w:proofErr w:type="spellEnd"/>
      <w:r w:rsidRPr="002A47DF">
        <w:rPr>
          <w:color w:val="000000"/>
          <w:sz w:val="24"/>
          <w:szCs w:val="24"/>
        </w:rPr>
        <w:t xml:space="preserve"> затрачена сумма 177 086 тыс. тенге, на ремонт вспомогательного и </w:t>
      </w:r>
      <w:proofErr w:type="spellStart"/>
      <w:r w:rsidRPr="002A47DF">
        <w:rPr>
          <w:color w:val="000000"/>
          <w:sz w:val="24"/>
          <w:szCs w:val="24"/>
        </w:rPr>
        <w:t>общестанционного</w:t>
      </w:r>
      <w:proofErr w:type="spellEnd"/>
      <w:r w:rsidRPr="002A47DF">
        <w:rPr>
          <w:color w:val="000000"/>
          <w:sz w:val="24"/>
          <w:szCs w:val="24"/>
        </w:rPr>
        <w:t xml:space="preserve"> оборудования -72 684 тыс. тенге.</w:t>
      </w:r>
    </w:p>
    <w:p w:rsidR="002A47DF" w:rsidRPr="002A47DF" w:rsidRDefault="002A47DF" w:rsidP="002A47DF">
      <w:pPr>
        <w:pStyle w:val="a6"/>
        <w:spacing w:line="240" w:lineRule="auto"/>
        <w:ind w:firstLine="720"/>
        <w:jc w:val="both"/>
        <w:rPr>
          <w:sz w:val="24"/>
          <w:szCs w:val="24"/>
        </w:rPr>
      </w:pPr>
      <w:r w:rsidRPr="002A47DF">
        <w:rPr>
          <w:b/>
          <w:sz w:val="24"/>
          <w:szCs w:val="24"/>
        </w:rPr>
        <w:t>Расходы периода.</w:t>
      </w:r>
      <w:r w:rsidRPr="002A47DF">
        <w:rPr>
          <w:sz w:val="24"/>
          <w:szCs w:val="24"/>
        </w:rPr>
        <w:t xml:space="preserve"> В целом по расходам периода образовался перерасход на сумму 6 684 тыс. тенге, в том числе по общим административным расходам 6 293 тыс. тенге, по расходам по реализации – 390 тыс. тенге.</w:t>
      </w:r>
    </w:p>
    <w:p w:rsidR="002A47DF" w:rsidRPr="002A47DF" w:rsidRDefault="002A47DF" w:rsidP="002A47DF">
      <w:pPr>
        <w:pStyle w:val="a6"/>
        <w:tabs>
          <w:tab w:val="left" w:pos="709"/>
        </w:tabs>
        <w:spacing w:line="240" w:lineRule="auto"/>
        <w:ind w:firstLine="720"/>
        <w:jc w:val="both"/>
        <w:rPr>
          <w:sz w:val="24"/>
          <w:szCs w:val="24"/>
        </w:rPr>
      </w:pPr>
      <w:r w:rsidRPr="002A47DF">
        <w:rPr>
          <w:sz w:val="24"/>
          <w:szCs w:val="24"/>
        </w:rPr>
        <w:t xml:space="preserve"> Основной причиной перерасхода являются </w:t>
      </w:r>
      <w:r w:rsidRPr="002A47DF">
        <w:rPr>
          <w:b/>
          <w:sz w:val="24"/>
          <w:szCs w:val="24"/>
        </w:rPr>
        <w:t>затраты на оплату труда</w:t>
      </w:r>
      <w:r w:rsidRPr="002A47DF">
        <w:rPr>
          <w:sz w:val="24"/>
          <w:szCs w:val="24"/>
        </w:rPr>
        <w:t xml:space="preserve"> административного персонала (перерасход 3 603 тыс. тенге).</w:t>
      </w:r>
    </w:p>
    <w:p w:rsidR="002A47DF" w:rsidRPr="002A47DF" w:rsidRDefault="002A47DF" w:rsidP="002A47DF">
      <w:pPr>
        <w:pStyle w:val="a6"/>
        <w:spacing w:line="240" w:lineRule="auto"/>
        <w:ind w:firstLine="720"/>
        <w:jc w:val="both"/>
        <w:rPr>
          <w:sz w:val="24"/>
          <w:szCs w:val="24"/>
        </w:rPr>
      </w:pPr>
      <w:r w:rsidRPr="002A47DF">
        <w:rPr>
          <w:b/>
          <w:sz w:val="24"/>
          <w:szCs w:val="24"/>
        </w:rPr>
        <w:t xml:space="preserve">Статья «Услуги банка». </w:t>
      </w:r>
      <w:r w:rsidRPr="002A47DF">
        <w:rPr>
          <w:sz w:val="24"/>
          <w:szCs w:val="24"/>
        </w:rPr>
        <w:t xml:space="preserve">Перерасход в сумме 518 тыс. тенге по данной статье сложился в связи с увеличением валютных операций. </w:t>
      </w:r>
    </w:p>
    <w:p w:rsidR="002A47DF" w:rsidRPr="002A47DF" w:rsidRDefault="002A47DF" w:rsidP="002A47DF">
      <w:pPr>
        <w:pStyle w:val="a6"/>
        <w:spacing w:line="240" w:lineRule="auto"/>
        <w:ind w:firstLine="720"/>
        <w:jc w:val="both"/>
        <w:rPr>
          <w:sz w:val="24"/>
          <w:szCs w:val="24"/>
        </w:rPr>
      </w:pPr>
      <w:r w:rsidRPr="002A47DF">
        <w:rPr>
          <w:b/>
          <w:sz w:val="24"/>
          <w:szCs w:val="24"/>
        </w:rPr>
        <w:t>Статья «Другие расходы»</w:t>
      </w:r>
      <w:r w:rsidRPr="002A47DF">
        <w:rPr>
          <w:sz w:val="24"/>
          <w:szCs w:val="24"/>
        </w:rPr>
        <w:t xml:space="preserve"> - перерасход составил 2 314 тыс. тенге, в связи с превышением объема услуг.</w:t>
      </w:r>
      <w:r w:rsidRPr="002A47DF">
        <w:rPr>
          <w:sz w:val="24"/>
          <w:szCs w:val="24"/>
        </w:rPr>
        <w:tab/>
      </w:r>
    </w:p>
    <w:p w:rsidR="003F52BF" w:rsidRPr="003F52BF" w:rsidRDefault="003F52BF" w:rsidP="00A5607F">
      <w:pPr>
        <w:pStyle w:val="a6"/>
        <w:spacing w:line="240" w:lineRule="auto"/>
        <w:ind w:firstLine="709"/>
        <w:jc w:val="both"/>
        <w:rPr>
          <w:sz w:val="24"/>
          <w:szCs w:val="24"/>
        </w:rPr>
      </w:pPr>
      <w:r w:rsidRPr="003F52BF">
        <w:rPr>
          <w:sz w:val="24"/>
          <w:szCs w:val="24"/>
        </w:rPr>
        <w:tab/>
      </w:r>
    </w:p>
    <w:p w:rsidR="000B7BD2" w:rsidRPr="003F52BF" w:rsidRDefault="000B7BD2" w:rsidP="00A5607F">
      <w:pPr>
        <w:ind w:firstLine="709"/>
        <w:jc w:val="both"/>
        <w:rPr>
          <w:rStyle w:val="s0"/>
          <w:sz w:val="24"/>
          <w:szCs w:val="24"/>
        </w:rPr>
      </w:pPr>
      <w:r w:rsidRPr="003F52BF">
        <w:rPr>
          <w:rStyle w:val="s0"/>
          <w:sz w:val="24"/>
          <w:szCs w:val="24"/>
        </w:rPr>
        <w:t>В персп</w:t>
      </w:r>
      <w:r w:rsidR="004006D1">
        <w:rPr>
          <w:rStyle w:val="s0"/>
          <w:sz w:val="24"/>
          <w:szCs w:val="24"/>
        </w:rPr>
        <w:t>ективе</w:t>
      </w:r>
      <w:r w:rsidRPr="003F52BF">
        <w:rPr>
          <w:rStyle w:val="s0"/>
          <w:sz w:val="24"/>
          <w:szCs w:val="24"/>
        </w:rPr>
        <w:t xml:space="preserve"> плана развития деятельности АО «ПАВЛОДАРЭНЕРГО»:</w:t>
      </w:r>
    </w:p>
    <w:p w:rsidR="000B7BD2" w:rsidRPr="003F52BF" w:rsidRDefault="000B7BD2" w:rsidP="00A5607F">
      <w:pPr>
        <w:pStyle w:val="a3"/>
        <w:numPr>
          <w:ilvl w:val="0"/>
          <w:numId w:val="3"/>
        </w:numPr>
        <w:ind w:left="0" w:firstLine="709"/>
        <w:jc w:val="both"/>
        <w:rPr>
          <w:rStyle w:val="s0"/>
          <w:sz w:val="24"/>
          <w:szCs w:val="24"/>
        </w:rPr>
      </w:pPr>
      <w:r w:rsidRPr="003F52BF">
        <w:rPr>
          <w:rStyle w:val="s0"/>
          <w:sz w:val="24"/>
          <w:szCs w:val="24"/>
        </w:rPr>
        <w:t>модернизация оборудования с целью повышения технического уровня производства, снижения рисков аварийности и исключения простоев;</w:t>
      </w:r>
    </w:p>
    <w:p w:rsidR="000B7BD2" w:rsidRPr="003F52BF" w:rsidRDefault="000B7BD2" w:rsidP="00A5607F">
      <w:pPr>
        <w:pStyle w:val="a3"/>
        <w:numPr>
          <w:ilvl w:val="0"/>
          <w:numId w:val="3"/>
        </w:numPr>
        <w:ind w:left="0" w:firstLine="709"/>
        <w:jc w:val="both"/>
        <w:rPr>
          <w:rStyle w:val="s0"/>
          <w:sz w:val="24"/>
          <w:szCs w:val="24"/>
        </w:rPr>
      </w:pPr>
      <w:r w:rsidRPr="003F52BF">
        <w:rPr>
          <w:rStyle w:val="s0"/>
          <w:sz w:val="24"/>
          <w:szCs w:val="24"/>
        </w:rPr>
        <w:t>минимизация удельных расходов на производство единицы тепловой и электрической энергии;</w:t>
      </w:r>
    </w:p>
    <w:p w:rsidR="000B7BD2" w:rsidRPr="003F52BF" w:rsidRDefault="000B7BD2" w:rsidP="00A5607F">
      <w:pPr>
        <w:pStyle w:val="a3"/>
        <w:numPr>
          <w:ilvl w:val="0"/>
          <w:numId w:val="3"/>
        </w:numPr>
        <w:ind w:left="0" w:firstLine="709"/>
        <w:jc w:val="both"/>
        <w:rPr>
          <w:rStyle w:val="s0"/>
          <w:sz w:val="24"/>
          <w:szCs w:val="24"/>
        </w:rPr>
      </w:pPr>
      <w:r w:rsidRPr="003F52BF">
        <w:rPr>
          <w:rStyle w:val="s0"/>
          <w:sz w:val="24"/>
          <w:szCs w:val="24"/>
        </w:rPr>
        <w:t>усиление требований к охране здоровья персонала, промышленной безопасности и снижению травматизма;</w:t>
      </w:r>
    </w:p>
    <w:p w:rsidR="000B7BD2" w:rsidRPr="003F52BF" w:rsidRDefault="000B7BD2" w:rsidP="00A5607F">
      <w:pPr>
        <w:pStyle w:val="a3"/>
        <w:numPr>
          <w:ilvl w:val="0"/>
          <w:numId w:val="3"/>
        </w:numPr>
        <w:ind w:left="0" w:firstLine="709"/>
        <w:jc w:val="both"/>
        <w:rPr>
          <w:rStyle w:val="s0"/>
          <w:sz w:val="24"/>
          <w:szCs w:val="24"/>
        </w:rPr>
      </w:pPr>
      <w:r w:rsidRPr="003F52BF">
        <w:rPr>
          <w:rStyle w:val="s0"/>
          <w:sz w:val="24"/>
          <w:szCs w:val="24"/>
        </w:rPr>
        <w:t>непрерывное обучение с целью повышения профессионального уровня сотрудников;</w:t>
      </w:r>
    </w:p>
    <w:p w:rsidR="000B7BD2" w:rsidRPr="003F52BF" w:rsidRDefault="000B7BD2" w:rsidP="00A5607F">
      <w:pPr>
        <w:pStyle w:val="a3"/>
        <w:numPr>
          <w:ilvl w:val="0"/>
          <w:numId w:val="3"/>
        </w:numPr>
        <w:ind w:left="0" w:firstLine="709"/>
        <w:jc w:val="both"/>
        <w:rPr>
          <w:rStyle w:val="s0"/>
          <w:sz w:val="24"/>
          <w:szCs w:val="24"/>
        </w:rPr>
      </w:pPr>
      <w:r w:rsidRPr="003F52BF">
        <w:rPr>
          <w:rStyle w:val="s0"/>
          <w:sz w:val="24"/>
          <w:szCs w:val="24"/>
        </w:rPr>
        <w:t>предотвращение загрязнения окружающей среды</w:t>
      </w:r>
      <w:r w:rsidR="0026369B" w:rsidRPr="003F52BF">
        <w:rPr>
          <w:rStyle w:val="s0"/>
          <w:sz w:val="24"/>
          <w:szCs w:val="24"/>
        </w:rPr>
        <w:t>.</w:t>
      </w:r>
      <w:r w:rsidRPr="003F52BF">
        <w:rPr>
          <w:rStyle w:val="s0"/>
          <w:sz w:val="24"/>
          <w:szCs w:val="24"/>
        </w:rPr>
        <w:t xml:space="preserve"> </w:t>
      </w:r>
    </w:p>
    <w:p w:rsidR="000B7BD2" w:rsidRPr="003F52BF" w:rsidRDefault="0026369B" w:rsidP="00A5607F">
      <w:pPr>
        <w:ind w:firstLine="709"/>
        <w:outlineLvl w:val="1"/>
        <w:rPr>
          <w:rStyle w:val="s0"/>
          <w:sz w:val="24"/>
          <w:szCs w:val="24"/>
        </w:rPr>
      </w:pPr>
      <w:r w:rsidRPr="003F52BF">
        <w:rPr>
          <w:rStyle w:val="s0"/>
          <w:sz w:val="24"/>
          <w:szCs w:val="24"/>
        </w:rPr>
        <w:t>АО «ПАВЛОДАРЭНЕРГО» планирует подать заявку в Уполномоченный орган на утверждение предельного уровня тарифов на регулируемый вид услуг с вводом в действи</w:t>
      </w:r>
      <w:r w:rsidR="00BE2FB5" w:rsidRPr="003F52BF">
        <w:rPr>
          <w:rStyle w:val="s0"/>
          <w:sz w:val="24"/>
          <w:szCs w:val="24"/>
        </w:rPr>
        <w:t>е</w:t>
      </w:r>
      <w:r w:rsidRPr="003F52BF">
        <w:rPr>
          <w:rStyle w:val="s0"/>
          <w:sz w:val="24"/>
          <w:szCs w:val="24"/>
        </w:rPr>
        <w:t xml:space="preserve"> с 01.01.2016 года сроком на 5 лет.</w:t>
      </w:r>
    </w:p>
    <w:p w:rsidR="00243177" w:rsidRPr="003F52BF" w:rsidRDefault="00243177" w:rsidP="00A5607F">
      <w:pPr>
        <w:pStyle w:val="a3"/>
        <w:ind w:left="0" w:firstLine="709"/>
        <w:rPr>
          <w:sz w:val="24"/>
          <w:szCs w:val="24"/>
        </w:rPr>
      </w:pPr>
    </w:p>
    <w:p w:rsidR="00243177" w:rsidRPr="003F52BF" w:rsidRDefault="00243177" w:rsidP="00243177">
      <w:pPr>
        <w:jc w:val="both"/>
        <w:rPr>
          <w:sz w:val="24"/>
          <w:szCs w:val="24"/>
        </w:rPr>
      </w:pPr>
    </w:p>
    <w:p w:rsidR="00012266" w:rsidRPr="003F52BF" w:rsidRDefault="00012266">
      <w:pPr>
        <w:rPr>
          <w:sz w:val="24"/>
          <w:szCs w:val="24"/>
        </w:rPr>
      </w:pPr>
    </w:p>
    <w:sectPr w:rsidR="00012266" w:rsidRPr="003F52BF" w:rsidSect="002A47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0EC"/>
    <w:multiLevelType w:val="hybridMultilevel"/>
    <w:tmpl w:val="640C7BD2"/>
    <w:lvl w:ilvl="0" w:tplc="F5C4E204">
      <w:start w:val="1"/>
      <w:numFmt w:val="decimal"/>
      <w:lvlText w:val="%1)"/>
      <w:lvlJc w:val="left"/>
      <w:pPr>
        <w:ind w:left="10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3D257F90"/>
    <w:multiLevelType w:val="multilevel"/>
    <w:tmpl w:val="0D18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741FEA"/>
    <w:multiLevelType w:val="hybridMultilevel"/>
    <w:tmpl w:val="17543A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41"/>
    <w:rsid w:val="00012266"/>
    <w:rsid w:val="000B3041"/>
    <w:rsid w:val="000B7BD2"/>
    <w:rsid w:val="001232FA"/>
    <w:rsid w:val="001C39D4"/>
    <w:rsid w:val="00243177"/>
    <w:rsid w:val="0026369B"/>
    <w:rsid w:val="002A47DF"/>
    <w:rsid w:val="00315777"/>
    <w:rsid w:val="003F52BF"/>
    <w:rsid w:val="004006D1"/>
    <w:rsid w:val="00424606"/>
    <w:rsid w:val="007E0ADA"/>
    <w:rsid w:val="00920F89"/>
    <w:rsid w:val="00993831"/>
    <w:rsid w:val="00A5607F"/>
    <w:rsid w:val="00A735EA"/>
    <w:rsid w:val="00A96E49"/>
    <w:rsid w:val="00AC1114"/>
    <w:rsid w:val="00B42846"/>
    <w:rsid w:val="00BB6C24"/>
    <w:rsid w:val="00BE2FB5"/>
    <w:rsid w:val="00D5098B"/>
    <w:rsid w:val="00E6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7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B7BD2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2431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24317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B7B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0B7BD2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5">
    <w:name w:val="Strong"/>
    <w:basedOn w:val="a0"/>
    <w:uiPriority w:val="22"/>
    <w:qFormat/>
    <w:rsid w:val="000B7BD2"/>
    <w:rPr>
      <w:b/>
      <w:bCs/>
    </w:rPr>
  </w:style>
  <w:style w:type="character" w:customStyle="1" w:styleId="apple-converted-space">
    <w:name w:val="apple-converted-space"/>
    <w:basedOn w:val="a0"/>
    <w:rsid w:val="000B7BD2"/>
  </w:style>
  <w:style w:type="paragraph" w:styleId="a6">
    <w:name w:val="Body Text"/>
    <w:basedOn w:val="a"/>
    <w:link w:val="a7"/>
    <w:rsid w:val="003F52BF"/>
    <w:pPr>
      <w:spacing w:line="360" w:lineRule="auto"/>
      <w:jc w:val="center"/>
    </w:pPr>
    <w:rPr>
      <w:color w:val="auto"/>
    </w:rPr>
  </w:style>
  <w:style w:type="character" w:customStyle="1" w:styleId="a7">
    <w:name w:val="Основной текст Знак"/>
    <w:basedOn w:val="a0"/>
    <w:link w:val="a6"/>
    <w:rsid w:val="003F5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39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39D4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4006D1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1">
    <w:name w:val="s1"/>
    <w:rsid w:val="004006D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b">
    <w:name w:val="FollowedHyperlink"/>
    <w:basedOn w:val="a0"/>
    <w:uiPriority w:val="99"/>
    <w:semiHidden/>
    <w:unhideWhenUsed/>
    <w:rsid w:val="00AC1114"/>
    <w:rPr>
      <w:color w:val="800080"/>
      <w:u w:val="single"/>
    </w:rPr>
  </w:style>
  <w:style w:type="paragraph" w:customStyle="1" w:styleId="font5">
    <w:name w:val="font5"/>
    <w:basedOn w:val="a"/>
    <w:rsid w:val="00AC1114"/>
    <w:pPr>
      <w:spacing w:before="100" w:beforeAutospacing="1" w:after="100" w:afterAutospacing="1"/>
    </w:pPr>
    <w:rPr>
      <w:color w:val="auto"/>
    </w:rPr>
  </w:style>
  <w:style w:type="paragraph" w:customStyle="1" w:styleId="xl66">
    <w:name w:val="xl6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7">
    <w:name w:val="xl67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8">
    <w:name w:val="xl6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9">
    <w:name w:val="xl6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0">
    <w:name w:val="xl70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1">
    <w:name w:val="xl7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2">
    <w:name w:val="xl72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3">
    <w:name w:val="xl7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4">
    <w:name w:val="xl74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5">
    <w:name w:val="xl7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6">
    <w:name w:val="xl7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7">
    <w:name w:val="xl7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8">
    <w:name w:val="xl7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9">
    <w:name w:val="xl7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0">
    <w:name w:val="xl80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1">
    <w:name w:val="xl81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2">
    <w:name w:val="xl82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3">
    <w:name w:val="xl8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4">
    <w:name w:val="xl8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5">
    <w:name w:val="xl8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6">
    <w:name w:val="xl8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7">
    <w:name w:val="xl8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8">
    <w:name w:val="xl8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0">
    <w:name w:val="xl9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1">
    <w:name w:val="xl9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2">
    <w:name w:val="xl9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3">
    <w:name w:val="xl9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4">
    <w:name w:val="xl9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5">
    <w:name w:val="xl95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6">
    <w:name w:val="xl96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7">
    <w:name w:val="xl97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8">
    <w:name w:val="xl9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9">
    <w:name w:val="xl99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0">
    <w:name w:val="xl100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1">
    <w:name w:val="xl101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2">
    <w:name w:val="xl10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3">
    <w:name w:val="xl10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4">
    <w:name w:val="xl10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5">
    <w:name w:val="xl10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6">
    <w:name w:val="xl10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7">
    <w:name w:val="xl10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8">
    <w:name w:val="xl10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9">
    <w:name w:val="xl10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0">
    <w:name w:val="xl11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1">
    <w:name w:val="xl111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2">
    <w:name w:val="xl11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3">
    <w:name w:val="xl11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4">
    <w:name w:val="xl11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5">
    <w:name w:val="xl11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6">
    <w:name w:val="xl116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7">
    <w:name w:val="xl117"/>
    <w:basedOn w:val="a"/>
    <w:rsid w:val="00AC11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8">
    <w:name w:val="xl11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9">
    <w:name w:val="xl119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0">
    <w:name w:val="xl120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1">
    <w:name w:val="xl12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2">
    <w:name w:val="xl122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3">
    <w:name w:val="xl123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4">
    <w:name w:val="xl12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5">
    <w:name w:val="xl125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6">
    <w:name w:val="xl12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7">
    <w:name w:val="xl127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8">
    <w:name w:val="xl128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9">
    <w:name w:val="xl129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0">
    <w:name w:val="xl130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1">
    <w:name w:val="xl131"/>
    <w:basedOn w:val="a"/>
    <w:rsid w:val="00AC111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2">
    <w:name w:val="xl132"/>
    <w:basedOn w:val="a"/>
    <w:rsid w:val="00AC11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3">
    <w:name w:val="xl133"/>
    <w:basedOn w:val="a"/>
    <w:rsid w:val="00AC111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4">
    <w:name w:val="xl134"/>
    <w:basedOn w:val="a"/>
    <w:rsid w:val="00AC11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5">
    <w:name w:val="xl135"/>
    <w:basedOn w:val="a"/>
    <w:rsid w:val="00AC11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6">
    <w:name w:val="xl136"/>
    <w:basedOn w:val="a"/>
    <w:rsid w:val="00AC11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7">
    <w:name w:val="xl13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8">
    <w:name w:val="xl13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9">
    <w:name w:val="xl13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0">
    <w:name w:val="xl14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3">
    <w:name w:val="xl14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4">
    <w:name w:val="xl14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5">
    <w:name w:val="xl14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6">
    <w:name w:val="xl14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7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B7BD2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2431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24317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B7B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0B7BD2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5">
    <w:name w:val="Strong"/>
    <w:basedOn w:val="a0"/>
    <w:uiPriority w:val="22"/>
    <w:qFormat/>
    <w:rsid w:val="000B7BD2"/>
    <w:rPr>
      <w:b/>
      <w:bCs/>
    </w:rPr>
  </w:style>
  <w:style w:type="character" w:customStyle="1" w:styleId="apple-converted-space">
    <w:name w:val="apple-converted-space"/>
    <w:basedOn w:val="a0"/>
    <w:rsid w:val="000B7BD2"/>
  </w:style>
  <w:style w:type="paragraph" w:styleId="a6">
    <w:name w:val="Body Text"/>
    <w:basedOn w:val="a"/>
    <w:link w:val="a7"/>
    <w:rsid w:val="003F52BF"/>
    <w:pPr>
      <w:spacing w:line="360" w:lineRule="auto"/>
      <w:jc w:val="center"/>
    </w:pPr>
    <w:rPr>
      <w:color w:val="auto"/>
    </w:rPr>
  </w:style>
  <w:style w:type="character" w:customStyle="1" w:styleId="a7">
    <w:name w:val="Основной текст Знак"/>
    <w:basedOn w:val="a0"/>
    <w:link w:val="a6"/>
    <w:rsid w:val="003F5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39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39D4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4006D1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1">
    <w:name w:val="s1"/>
    <w:rsid w:val="004006D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b">
    <w:name w:val="FollowedHyperlink"/>
    <w:basedOn w:val="a0"/>
    <w:uiPriority w:val="99"/>
    <w:semiHidden/>
    <w:unhideWhenUsed/>
    <w:rsid w:val="00AC1114"/>
    <w:rPr>
      <w:color w:val="800080"/>
      <w:u w:val="single"/>
    </w:rPr>
  </w:style>
  <w:style w:type="paragraph" w:customStyle="1" w:styleId="font5">
    <w:name w:val="font5"/>
    <w:basedOn w:val="a"/>
    <w:rsid w:val="00AC1114"/>
    <w:pPr>
      <w:spacing w:before="100" w:beforeAutospacing="1" w:after="100" w:afterAutospacing="1"/>
    </w:pPr>
    <w:rPr>
      <w:color w:val="auto"/>
    </w:rPr>
  </w:style>
  <w:style w:type="paragraph" w:customStyle="1" w:styleId="xl66">
    <w:name w:val="xl6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7">
    <w:name w:val="xl67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8">
    <w:name w:val="xl6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9">
    <w:name w:val="xl6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0">
    <w:name w:val="xl70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1">
    <w:name w:val="xl7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2">
    <w:name w:val="xl72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3">
    <w:name w:val="xl7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4">
    <w:name w:val="xl74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5">
    <w:name w:val="xl7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6">
    <w:name w:val="xl7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7">
    <w:name w:val="xl7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8">
    <w:name w:val="xl7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9">
    <w:name w:val="xl7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0">
    <w:name w:val="xl80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1">
    <w:name w:val="xl81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2">
    <w:name w:val="xl82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3">
    <w:name w:val="xl8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4">
    <w:name w:val="xl8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5">
    <w:name w:val="xl8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6">
    <w:name w:val="xl8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7">
    <w:name w:val="xl8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8">
    <w:name w:val="xl8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0">
    <w:name w:val="xl9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1">
    <w:name w:val="xl9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2">
    <w:name w:val="xl9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3">
    <w:name w:val="xl9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4">
    <w:name w:val="xl9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5">
    <w:name w:val="xl95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6">
    <w:name w:val="xl96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7">
    <w:name w:val="xl97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8">
    <w:name w:val="xl9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9">
    <w:name w:val="xl99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0">
    <w:name w:val="xl100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1">
    <w:name w:val="xl101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2">
    <w:name w:val="xl10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3">
    <w:name w:val="xl10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4">
    <w:name w:val="xl10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5">
    <w:name w:val="xl10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6">
    <w:name w:val="xl10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7">
    <w:name w:val="xl10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8">
    <w:name w:val="xl10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9">
    <w:name w:val="xl10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0">
    <w:name w:val="xl11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1">
    <w:name w:val="xl111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2">
    <w:name w:val="xl11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3">
    <w:name w:val="xl11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4">
    <w:name w:val="xl11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5">
    <w:name w:val="xl11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6">
    <w:name w:val="xl116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7">
    <w:name w:val="xl117"/>
    <w:basedOn w:val="a"/>
    <w:rsid w:val="00AC11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8">
    <w:name w:val="xl11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9">
    <w:name w:val="xl119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0">
    <w:name w:val="xl120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1">
    <w:name w:val="xl12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2">
    <w:name w:val="xl122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3">
    <w:name w:val="xl123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4">
    <w:name w:val="xl12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5">
    <w:name w:val="xl125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6">
    <w:name w:val="xl12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7">
    <w:name w:val="xl127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8">
    <w:name w:val="xl128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9">
    <w:name w:val="xl129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0">
    <w:name w:val="xl130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1">
    <w:name w:val="xl131"/>
    <w:basedOn w:val="a"/>
    <w:rsid w:val="00AC111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2">
    <w:name w:val="xl132"/>
    <w:basedOn w:val="a"/>
    <w:rsid w:val="00AC11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3">
    <w:name w:val="xl133"/>
    <w:basedOn w:val="a"/>
    <w:rsid w:val="00AC111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4">
    <w:name w:val="xl134"/>
    <w:basedOn w:val="a"/>
    <w:rsid w:val="00AC11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5">
    <w:name w:val="xl135"/>
    <w:basedOn w:val="a"/>
    <w:rsid w:val="00AC11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6">
    <w:name w:val="xl136"/>
    <w:basedOn w:val="a"/>
    <w:rsid w:val="00AC11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7">
    <w:name w:val="xl13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8">
    <w:name w:val="xl13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9">
    <w:name w:val="xl13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0">
    <w:name w:val="xl14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3">
    <w:name w:val="xl14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4">
    <w:name w:val="xl14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5">
    <w:name w:val="xl14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6">
    <w:name w:val="xl14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2677</Words>
  <Characters>15264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</Company>
  <LinksUpToDate>false</LinksUpToDate>
  <CharactersWithSpaces>17906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 А.Ю.</dc:creator>
  <cp:keywords/>
  <dc:description/>
  <cp:lastModifiedBy>Самойлова А.Ю.</cp:lastModifiedBy>
  <cp:revision>9</cp:revision>
  <cp:lastPrinted>2015-04-17T06:21:00Z</cp:lastPrinted>
  <dcterms:created xsi:type="dcterms:W3CDTF">2015-04-16T04:42:00Z</dcterms:created>
  <dcterms:modified xsi:type="dcterms:W3CDTF">2015-04-17T09:28:00Z</dcterms:modified>
</cp:coreProperties>
</file>