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43" w:rsidRPr="00173243" w:rsidRDefault="00173243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к отчету об исполнении тарифной сметы                                                    ТОО «</w:t>
      </w:r>
      <w:proofErr w:type="spellStart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173243" w:rsidRPr="00173243" w:rsidRDefault="000326A7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производству, передаче,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распределению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снабжению тепловой энергией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исполнении инвестиционной программы</w:t>
      </w:r>
    </w:p>
    <w:p w:rsidR="00173243" w:rsidRPr="00173243" w:rsidRDefault="00173243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202</w:t>
      </w:r>
      <w:r w:rsidR="00032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C239D3" w:rsidRPr="00C239D3" w:rsidRDefault="00C239D3" w:rsidP="00C239D3">
      <w:pPr>
        <w:spacing w:line="276" w:lineRule="auto"/>
        <w:rPr>
          <w:rFonts w:ascii="Times New Roman" w:hAnsi="Times New Roman" w:cs="Times New Roman"/>
          <w:szCs w:val="24"/>
        </w:rPr>
      </w:pPr>
      <w:r w:rsidRPr="00C239D3">
        <w:rPr>
          <w:rFonts w:ascii="Times New Roman" w:hAnsi="Times New Roman" w:cs="Times New Roman"/>
          <w:szCs w:val="24"/>
        </w:rPr>
        <w:t xml:space="preserve">в соответствии с: </w:t>
      </w:r>
    </w:p>
    <w:p w:rsidR="00C239D3" w:rsidRPr="00C239D3" w:rsidRDefault="00C239D3" w:rsidP="00C239D3">
      <w:pPr>
        <w:pStyle w:val="a6"/>
        <w:numPr>
          <w:ilvl w:val="0"/>
          <w:numId w:val="3"/>
        </w:numPr>
        <w:spacing w:line="276" w:lineRule="auto"/>
        <w:contextualSpacing/>
        <w:jc w:val="both"/>
        <w:rPr>
          <w:rStyle w:val="s1"/>
          <w:rFonts w:ascii="Times New Roman" w:hAnsi="Times New Roman" w:cs="Times New Roman"/>
          <w:b w:val="0"/>
        </w:rPr>
      </w:pPr>
      <w:r w:rsidRPr="00C239D3">
        <w:rPr>
          <w:rFonts w:ascii="Times New Roman" w:hAnsi="Times New Roman" w:cs="Times New Roman"/>
        </w:rPr>
        <w:t xml:space="preserve">п.289/п.292 главы 7. </w:t>
      </w:r>
      <w:r w:rsidRPr="00C239D3">
        <w:rPr>
          <w:rStyle w:val="s1"/>
          <w:rFonts w:ascii="Times New Roman" w:hAnsi="Times New Roman" w:cs="Times New Roman"/>
        </w:rPr>
        <w:t>Приказа Министра национальной экономики Республики Казахстан от 13 августа 2019 года № 73 «</w:t>
      </w:r>
      <w:r w:rsidRPr="00C239D3">
        <w:rPr>
          <w:rStyle w:val="s0"/>
          <w:rFonts w:ascii="Times New Roman" w:hAnsi="Times New Roman" w:cs="Times New Roman"/>
        </w:rPr>
        <w:t xml:space="preserve">Субъект естественной монополии в сроки, </w:t>
      </w:r>
      <w:r w:rsidRPr="00C239D3">
        <w:rPr>
          <w:rStyle w:val="s0"/>
          <w:rFonts w:ascii="Times New Roman" w:hAnsi="Times New Roman" w:cs="Times New Roman"/>
          <w:bCs/>
          <w:iCs/>
        </w:rPr>
        <w:t xml:space="preserve">установленные </w:t>
      </w:r>
      <w:hyperlink r:id="rId6" w:history="1">
        <w:r w:rsidRPr="00C239D3">
          <w:rPr>
            <w:rStyle w:val="a7"/>
            <w:iCs/>
          </w:rPr>
          <w:t>пунктом 287</w:t>
        </w:r>
      </w:hyperlink>
      <w:r w:rsidRPr="00C239D3">
        <w:rPr>
          <w:rStyle w:val="s2"/>
          <w:bCs/>
          <w:iCs/>
          <w:color w:val="000080"/>
        </w:rPr>
        <w:t xml:space="preserve"> </w:t>
      </w:r>
      <w:r w:rsidRPr="00C239D3">
        <w:rPr>
          <w:rStyle w:val="s0"/>
          <w:rFonts w:ascii="Times New Roman" w:hAnsi="Times New Roman" w:cs="Times New Roman"/>
        </w:rPr>
        <w:t xml:space="preserve"> настоящих Правил, </w:t>
      </w:r>
      <w:r w:rsidRPr="00C239D3">
        <w:rPr>
          <w:rStyle w:val="s0"/>
          <w:rFonts w:ascii="Times New Roman" w:hAnsi="Times New Roman" w:cs="Times New Roman"/>
          <w:bCs/>
        </w:rPr>
        <w:t>размещает в средствах массовой информации</w:t>
      </w:r>
      <w:r w:rsidRPr="00C239D3">
        <w:rPr>
          <w:rStyle w:val="s0"/>
          <w:rFonts w:ascii="Times New Roman" w:hAnsi="Times New Roman" w:cs="Times New Roman"/>
        </w:rPr>
        <w:t xml:space="preserve">, распространяемых на территории соответствующей административно-территориальной единицы, отчеты перед потребителями и иными заинтересованными лицами </w:t>
      </w:r>
      <w:r w:rsidRPr="00C239D3">
        <w:rPr>
          <w:rStyle w:val="s0"/>
          <w:rFonts w:ascii="Times New Roman" w:hAnsi="Times New Roman" w:cs="Times New Roman"/>
          <w:bCs/>
        </w:rPr>
        <w:t>об исполнении утвержденной тарифной сметы, об исполнении утвержденной инвестиционной программы,</w:t>
      </w:r>
      <w:r w:rsidRPr="00C239D3">
        <w:rPr>
          <w:rStyle w:val="s0"/>
          <w:rFonts w:ascii="Times New Roman" w:hAnsi="Times New Roman" w:cs="Times New Roman"/>
        </w:rPr>
        <w:t xml:space="preserve">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обоснованиями, в том </w:t>
      </w:r>
      <w:r w:rsidRPr="00C239D3">
        <w:rPr>
          <w:rStyle w:val="s0"/>
          <w:rFonts w:ascii="Times New Roman" w:hAnsi="Times New Roman" w:cs="Times New Roman"/>
          <w:bCs/>
        </w:rPr>
        <w:t>числе финансовую отчетность.</w:t>
      </w:r>
      <w:r w:rsidRPr="00C239D3">
        <w:rPr>
          <w:rStyle w:val="s1"/>
          <w:rFonts w:ascii="Times New Roman" w:hAnsi="Times New Roman" w:cs="Times New Roman"/>
        </w:rPr>
        <w:t>»;</w:t>
      </w:r>
    </w:p>
    <w:p w:rsidR="00C239D3" w:rsidRDefault="00C239D3" w:rsidP="00C239D3">
      <w:pPr>
        <w:pStyle w:val="a3"/>
        <w:spacing w:line="300" w:lineRule="auto"/>
        <w:jc w:val="both"/>
        <w:rPr>
          <w:b/>
          <w:color w:val="000000"/>
          <w:sz w:val="24"/>
          <w:szCs w:val="24"/>
        </w:rPr>
      </w:pPr>
    </w:p>
    <w:p w:rsidR="00473622" w:rsidRPr="00C239D3" w:rsidRDefault="00C239D3" w:rsidP="00C239D3">
      <w:pPr>
        <w:pStyle w:val="a3"/>
        <w:spacing w:line="30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E732F6" w:rsidRPr="00C239D3">
        <w:rPr>
          <w:color w:val="000000"/>
          <w:sz w:val="24"/>
          <w:szCs w:val="24"/>
        </w:rPr>
        <w:t>ТОО «</w:t>
      </w:r>
      <w:proofErr w:type="spellStart"/>
      <w:r w:rsidR="00E732F6" w:rsidRPr="00C239D3">
        <w:rPr>
          <w:color w:val="000000"/>
          <w:sz w:val="24"/>
          <w:szCs w:val="24"/>
        </w:rPr>
        <w:t>Экибастузтеплоэнерго</w:t>
      </w:r>
      <w:proofErr w:type="spellEnd"/>
      <w:r w:rsidR="00E732F6" w:rsidRPr="00C239D3">
        <w:rPr>
          <w:color w:val="000000"/>
          <w:sz w:val="24"/>
          <w:szCs w:val="24"/>
        </w:rPr>
        <w:t xml:space="preserve">» </w:t>
      </w:r>
      <w:r w:rsidRPr="00C239D3">
        <w:rPr>
          <w:color w:val="000000"/>
          <w:sz w:val="24"/>
          <w:szCs w:val="24"/>
        </w:rPr>
        <w:t>предоставляет отчет об исполнении тарифной сметы</w:t>
      </w:r>
      <w:r>
        <w:rPr>
          <w:color w:val="000000"/>
          <w:sz w:val="24"/>
          <w:szCs w:val="24"/>
        </w:rPr>
        <w:t xml:space="preserve"> за 2022г</w:t>
      </w:r>
    </w:p>
    <w:p w:rsidR="00A67E71" w:rsidRPr="00B26957" w:rsidRDefault="00473622" w:rsidP="000948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Тарифная смета утверждена приказом РГУ «Департамент комитета по регулированию естественных монополий» Министерства Национальной экономики РК по Павлодарской </w:t>
      </w:r>
      <w:proofErr w:type="gramStart"/>
      <w:r w:rsidRPr="00B2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 №</w:t>
      </w:r>
      <w:proofErr w:type="gramEnd"/>
      <w:r w:rsidRPr="00B2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105-ОД от 20.12.2021г. Приказом 127 – НК от 29.12.2022 внесены изменения в</w:t>
      </w:r>
      <w:r w:rsidR="00A67E71" w:rsidRPr="00B2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тарифную смету.</w:t>
      </w:r>
    </w:p>
    <w:p w:rsidR="00E40C6E" w:rsidRDefault="00C239D3" w:rsidP="00C239D3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тарифной сметы по производству, передаче, распределению и снабжению тепловой энергией за 2022г.</w:t>
      </w:r>
    </w:p>
    <w:p w:rsidR="00E40C6E" w:rsidRDefault="00E40C6E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74"/>
        <w:gridCol w:w="3757"/>
        <w:gridCol w:w="1109"/>
        <w:gridCol w:w="1838"/>
        <w:gridCol w:w="1332"/>
        <w:gridCol w:w="1021"/>
      </w:tblGrid>
      <w:tr w:rsidR="00D76800" w:rsidRPr="00D76800" w:rsidTr="00D76800">
        <w:trPr>
          <w:trHeight w:val="25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Предусмотрено  в утвержденной  тарифной смете                                           (утв. Пр. № 127-НК                  от 29.12.2022г.) скорректированная на 2022г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Фактически сложившиеся показатели тарифной сметы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.%</w:t>
            </w:r>
          </w:p>
        </w:tc>
      </w:tr>
      <w:tr w:rsidR="00D76800" w:rsidRPr="00D76800" w:rsidTr="00D76800">
        <w:trPr>
          <w:trHeight w:val="408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6800" w:rsidRPr="00D76800" w:rsidTr="00D76800">
        <w:trPr>
          <w:trHeight w:val="153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6800" w:rsidRPr="00D76800" w:rsidTr="00D76800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Затраты на производство товаров и предоставление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услуг,всего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4 674 791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6 228 145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Материальные затраты, всего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1 634 193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2 680 534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445 194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695 741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56,28%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хим.реагенты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реактивы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4,96%</w:t>
            </w:r>
          </w:p>
        </w:tc>
      </w:tr>
      <w:tr w:rsidR="00D76800" w:rsidRPr="00D76800" w:rsidTr="00D76800">
        <w:trPr>
          <w:trHeight w:val="38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вода на технологические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329 721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74,80%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 и услуги на эксплуатацию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955 864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1 438 215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50,46%</w:t>
            </w:r>
          </w:p>
        </w:tc>
      </w:tr>
      <w:tr w:rsidR="00D76800" w:rsidRPr="00D76800" w:rsidTr="00D76800">
        <w:trPr>
          <w:trHeight w:val="4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уголь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827 471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45,47%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мазут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128 393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ГСМ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43 367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53 328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22,97%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Энергия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493 249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159,92%</w:t>
            </w:r>
          </w:p>
        </w:tc>
      </w:tr>
      <w:tr w:rsidR="00D76800" w:rsidRPr="00D76800" w:rsidTr="00D76800">
        <w:trPr>
          <w:trHeight w:val="4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эл. энергия  на хоз. нужды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137,59%</w:t>
            </w:r>
          </w:p>
        </w:tc>
      </w:tr>
      <w:tr w:rsidR="00D76800" w:rsidRPr="00D76800" w:rsidTr="00D76800">
        <w:trPr>
          <w:trHeight w:val="4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теп. энергия  на хоз. нужды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734,22%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1 593 069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1 596 416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1 436 351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1 435 176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соцотчисления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ОСМС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165 973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198 860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,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42,01%</w:t>
            </w:r>
          </w:p>
        </w:tc>
      </w:tr>
      <w:tr w:rsidR="00D76800" w:rsidRPr="00D76800" w:rsidTr="00D76800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Ремонт, не приводящий к увеличению стоимости основных средств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572 273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812 680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сторонних организаций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произв-го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хар-ра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473 133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27,95%</w:t>
            </w:r>
          </w:p>
        </w:tc>
      </w:tr>
      <w:tr w:rsidR="00D76800" w:rsidRPr="00D76800" w:rsidTr="00D76800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грузовой автотранспорт, перевозка персонала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309 324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технические характеристики, исследование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-4,35%</w:t>
            </w:r>
          </w:p>
        </w:tc>
      </w:tr>
      <w:tr w:rsidR="00D76800" w:rsidRPr="00D76800" w:rsidTr="00D76800">
        <w:trPr>
          <w:trHeight w:val="52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оперативное обслуживание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23,34%</w:t>
            </w:r>
          </w:p>
        </w:tc>
      </w:tr>
      <w:tr w:rsidR="00D76800" w:rsidRPr="00D76800" w:rsidTr="00D76800">
        <w:trPr>
          <w:trHeight w:val="40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охрана объекта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41,69%</w:t>
            </w:r>
          </w:p>
        </w:tc>
      </w:tr>
      <w:tr w:rsidR="00D76800" w:rsidRPr="00D76800" w:rsidTr="00D76800">
        <w:trPr>
          <w:trHeight w:val="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утилизация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промотходов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36,25%</w:t>
            </w:r>
          </w:p>
        </w:tc>
      </w:tr>
      <w:tr w:rsidR="00D76800" w:rsidRPr="00D76800" w:rsidTr="00D76800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(Плата за эмиссии в ОС)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95 647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37,50%</w:t>
            </w:r>
          </w:p>
        </w:tc>
      </w:tr>
      <w:tr w:rsidR="00D76800" w:rsidRPr="00D76800" w:rsidTr="00D76800">
        <w:trPr>
          <w:trHeight w:val="7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56,22%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затраты, всего,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126 311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180 579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42,96%</w:t>
            </w:r>
          </w:p>
        </w:tc>
      </w:tr>
      <w:tr w:rsidR="00D76800" w:rsidRPr="00D76800" w:rsidTr="00D7680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канцелярские,типографские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48,60%</w:t>
            </w:r>
          </w:p>
        </w:tc>
      </w:tr>
      <w:tr w:rsidR="00D76800" w:rsidRPr="00D76800" w:rsidTr="00D76800">
        <w:trPr>
          <w:trHeight w:val="3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затраты по ТБ и ОТ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29,23%</w:t>
            </w:r>
          </w:p>
        </w:tc>
      </w:tr>
      <w:tr w:rsidR="00D76800" w:rsidRPr="00D76800" w:rsidTr="00D76800">
        <w:trPr>
          <w:trHeight w:val="4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связи и интернет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909,75%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поверка приборов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спец.молоко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польз. земельными участками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D76800" w:rsidRPr="00D76800" w:rsidTr="00D76800">
        <w:trPr>
          <w:trHeight w:val="3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хоз. вода, стоки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58,91%</w:t>
            </w:r>
          </w:p>
        </w:tc>
      </w:tr>
      <w:tr w:rsidR="00D76800" w:rsidRPr="00D76800" w:rsidTr="00D76800">
        <w:trPr>
          <w:trHeight w:val="33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подготовка кадров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расх.на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30,07%</w:t>
            </w:r>
          </w:p>
        </w:tc>
      </w:tr>
      <w:tr w:rsidR="00D76800" w:rsidRPr="00D76800" w:rsidTr="00D76800">
        <w:trPr>
          <w:trHeight w:val="4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периода,всего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33,93%</w:t>
            </w:r>
          </w:p>
        </w:tc>
      </w:tr>
      <w:tr w:rsidR="00D76800" w:rsidRPr="00D76800" w:rsidTr="00D76800">
        <w:trPr>
          <w:trHeight w:val="4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административные расходы, всего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469 695,75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 административного   персонала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соцотчисления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обязательное социальное  медицинское страхование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-2,29%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налоговые платежи и сборы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76,52%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командировочные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50,97%</w:t>
            </w:r>
          </w:p>
        </w:tc>
      </w:tr>
      <w:tr w:rsidR="00D76800" w:rsidRPr="00D76800" w:rsidTr="00D76800">
        <w:trPr>
          <w:trHeight w:val="6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коммунальные услуги (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хпв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эл.энергия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т.энергия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ХН, подпитка)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361,27%</w:t>
            </w:r>
          </w:p>
        </w:tc>
      </w:tr>
      <w:tr w:rsidR="00D76800" w:rsidRPr="00D76800" w:rsidTr="00D76800">
        <w:trPr>
          <w:trHeight w:val="4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связи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282,58%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банка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18,33%</w:t>
            </w:r>
          </w:p>
        </w:tc>
      </w:tr>
      <w:tr w:rsidR="00D76800" w:rsidRPr="00D76800" w:rsidTr="00D76800">
        <w:trPr>
          <w:trHeight w:val="3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страхование работников,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страхование, страхование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другие расходы ,всего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79,42%</w:t>
            </w:r>
          </w:p>
        </w:tc>
      </w:tr>
      <w:tr w:rsidR="00D76800" w:rsidRPr="00D76800" w:rsidTr="00D76800">
        <w:trPr>
          <w:trHeight w:val="3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автотранспорта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297,72%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канцтовары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30,08%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спец. молоко, ОТ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105,17%</w:t>
            </w:r>
          </w:p>
        </w:tc>
      </w:tr>
      <w:tr w:rsidR="00D76800" w:rsidRPr="00D76800" w:rsidTr="00D76800">
        <w:trPr>
          <w:trHeight w:val="3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АСУ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поверка приборов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 и услуги на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28,13%</w:t>
            </w:r>
          </w:p>
        </w:tc>
      </w:tr>
      <w:tr w:rsidR="00D76800" w:rsidRPr="00D76800" w:rsidTr="00D76800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оды</w:t>
            </w: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тех.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32,93%</w:t>
            </w:r>
          </w:p>
        </w:tc>
      </w:tr>
      <w:tr w:rsidR="00D76800" w:rsidRPr="00D76800" w:rsidTr="00D76800">
        <w:trPr>
          <w:trHeight w:val="3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дератизация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258,21%</w:t>
            </w:r>
          </w:p>
        </w:tc>
      </w:tr>
      <w:tr w:rsidR="00D76800" w:rsidRPr="00D76800" w:rsidTr="00D76800">
        <w:trPr>
          <w:trHeight w:val="4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51,36%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по реализации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104 447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20,06%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-4,78%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соцотчисления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-3,22%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медицинское страхование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-4,61%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-3,83%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охраны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аренда помещений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доставка ЕПД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банка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автотранспорта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проездные билеты для контролеров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по эксплуатации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тех.обслуж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5 129 940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6 823 241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33,01%</w:t>
            </w:r>
          </w:p>
        </w:tc>
      </w:tr>
      <w:tr w:rsidR="00D76800" w:rsidRPr="00D76800" w:rsidTr="00D76800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317 594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-2 782 099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-975,99%</w:t>
            </w:r>
          </w:p>
        </w:tc>
      </w:tr>
      <w:tr w:rsidR="00D76800" w:rsidRPr="00D76800" w:rsidTr="00D76800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2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 по тарифной смете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-2 408 976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7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неисполнение статьи "мазут"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-46 890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недовозмещенный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-124 301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7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-201 932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6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5 447 534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-25,82%</w:t>
            </w:r>
          </w:p>
        </w:tc>
      </w:tr>
      <w:tr w:rsidR="00D76800" w:rsidRPr="00D76800" w:rsidTr="00D76800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неисполнение статьи "мазут"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7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недовозмещенный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7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D76800">
        <w:trPr>
          <w:trHeight w:val="6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за вычетом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недовозмещенного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дополнительного дохода)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5 074 411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-20,36%</w:t>
            </w:r>
          </w:p>
        </w:tc>
      </w:tr>
      <w:tr w:rsidR="00D76800" w:rsidRPr="00D76800" w:rsidTr="00D76800">
        <w:trPr>
          <w:trHeight w:val="45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909,466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812,631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-10,65%</w:t>
            </w:r>
          </w:p>
        </w:tc>
      </w:tr>
      <w:tr w:rsidR="00D76800" w:rsidRPr="00D76800" w:rsidTr="00D76800">
        <w:trPr>
          <w:trHeight w:val="49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5 074 411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-20,36%</w:t>
            </w:r>
          </w:p>
        </w:tc>
      </w:tr>
      <w:tr w:rsidR="00D76800" w:rsidRPr="00D76800" w:rsidTr="00D7680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 (без НДС)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5 579,55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4 972,91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-10,87%</w:t>
            </w:r>
          </w:p>
        </w:tc>
      </w:tr>
    </w:tbl>
    <w:p w:rsidR="00D76800" w:rsidRDefault="00D76800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p w:rsidR="00F72D43" w:rsidRPr="00F72D43" w:rsidRDefault="00F72D43" w:rsidP="00F72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Затраты на предоставленные услуги – 6</w:t>
      </w:r>
      <w:r w:rsidR="00D76800">
        <w:rPr>
          <w:rFonts w:ascii="Times New Roman" w:hAnsi="Times New Roman" w:cs="Times New Roman"/>
          <w:sz w:val="24"/>
          <w:szCs w:val="24"/>
        </w:rPr>
        <w:t> 823 241</w:t>
      </w:r>
      <w:r w:rsidRPr="00F72D43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F72D43" w:rsidRPr="00F72D43" w:rsidRDefault="00F72D43" w:rsidP="00F72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Доход от предоставленных услуг – 4 041 142 тыс. тенге.</w:t>
      </w:r>
    </w:p>
    <w:p w:rsidR="00F72D43" w:rsidRDefault="00F72D43" w:rsidP="00F72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Итог деятельности по регулируемому виду услуг – убыток 2 </w:t>
      </w:r>
      <w:r w:rsidR="00D76800">
        <w:rPr>
          <w:rFonts w:ascii="Times New Roman" w:hAnsi="Times New Roman" w:cs="Times New Roman"/>
          <w:sz w:val="24"/>
          <w:szCs w:val="24"/>
        </w:rPr>
        <w:t>782</w:t>
      </w:r>
      <w:r w:rsidRPr="00F72D43">
        <w:rPr>
          <w:rFonts w:ascii="Times New Roman" w:hAnsi="Times New Roman" w:cs="Times New Roman"/>
          <w:sz w:val="24"/>
          <w:szCs w:val="24"/>
        </w:rPr>
        <w:t> </w:t>
      </w:r>
      <w:r w:rsidR="00D76800">
        <w:rPr>
          <w:rFonts w:ascii="Times New Roman" w:hAnsi="Times New Roman" w:cs="Times New Roman"/>
          <w:sz w:val="24"/>
          <w:szCs w:val="24"/>
        </w:rPr>
        <w:t>099</w:t>
      </w:r>
      <w:r w:rsidRPr="00F72D43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F72D43" w:rsidRPr="00F72D43" w:rsidRDefault="00F72D43" w:rsidP="00F72D43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 xml:space="preserve">Средний утвержденный </w:t>
      </w:r>
      <w:proofErr w:type="gramStart"/>
      <w:r w:rsidRPr="00F72D43">
        <w:rPr>
          <w:sz w:val="24"/>
          <w:szCs w:val="24"/>
        </w:rPr>
        <w:t>тариф  5579</w:t>
      </w:r>
      <w:proofErr w:type="gramEnd"/>
      <w:r w:rsidRPr="00F72D43">
        <w:rPr>
          <w:sz w:val="24"/>
          <w:szCs w:val="24"/>
        </w:rPr>
        <w:t xml:space="preserve">,55 тенге/Гкал. </w:t>
      </w:r>
    </w:p>
    <w:p w:rsidR="00F72D43" w:rsidRPr="00F72D43" w:rsidRDefault="00F72D43" w:rsidP="00F72D43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>Факт 4972,91 тенге/Гкал</w:t>
      </w:r>
    </w:p>
    <w:p w:rsidR="00F72D43" w:rsidRPr="00F72D43" w:rsidRDefault="00F72D43" w:rsidP="00F72D43">
      <w:pPr>
        <w:rPr>
          <w:rFonts w:ascii="Times New Roman" w:hAnsi="Times New Roman" w:cs="Times New Roman"/>
          <w:sz w:val="24"/>
          <w:szCs w:val="24"/>
        </w:rPr>
      </w:pPr>
    </w:p>
    <w:p w:rsidR="00F72D43" w:rsidRPr="00F72D43" w:rsidRDefault="00F72D43" w:rsidP="00F72D4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2D43">
        <w:rPr>
          <w:rFonts w:ascii="Times New Roman" w:hAnsi="Times New Roman" w:cs="Times New Roman"/>
          <w:b/>
          <w:sz w:val="24"/>
          <w:szCs w:val="24"/>
        </w:rPr>
        <w:t>Об объемах предоставленных регулируемых услуг за 2022г</w:t>
      </w:r>
    </w:p>
    <w:p w:rsidR="00F72D43" w:rsidRPr="00F72D43" w:rsidRDefault="00F72D43" w:rsidP="00F72D43">
      <w:pPr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Объем предоставленных услуг в тарифной смете 909,466 тыс. Гкал.</w:t>
      </w:r>
    </w:p>
    <w:p w:rsidR="00F72D43" w:rsidRDefault="00F72D43" w:rsidP="00F72D43">
      <w:pPr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 xml:space="preserve">Фактический объем услуг тепловой энергии за 2022 год </w:t>
      </w:r>
      <w:proofErr w:type="gramStart"/>
      <w:r w:rsidRPr="00F72D43">
        <w:rPr>
          <w:rFonts w:ascii="Times New Roman" w:hAnsi="Times New Roman" w:cs="Times New Roman"/>
          <w:sz w:val="24"/>
          <w:szCs w:val="24"/>
        </w:rPr>
        <w:t>составил  8</w:t>
      </w:r>
      <w:r w:rsidR="00D76800">
        <w:rPr>
          <w:rFonts w:ascii="Times New Roman" w:hAnsi="Times New Roman" w:cs="Times New Roman"/>
          <w:sz w:val="24"/>
          <w:szCs w:val="24"/>
        </w:rPr>
        <w:t>52,251</w:t>
      </w:r>
      <w:proofErr w:type="gramEnd"/>
      <w:r w:rsidRPr="00F72D43">
        <w:rPr>
          <w:rFonts w:ascii="Times New Roman" w:hAnsi="Times New Roman" w:cs="Times New Roman"/>
          <w:sz w:val="24"/>
          <w:szCs w:val="24"/>
        </w:rPr>
        <w:t xml:space="preserve"> тыс. Гкал.</w:t>
      </w:r>
    </w:p>
    <w:p w:rsidR="00C239D3" w:rsidRDefault="00C239D3" w:rsidP="00C239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году, 27 ноября в 1 час.20 минут по местному времени в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произошла авария. </w:t>
      </w:r>
      <w:r w:rsidRPr="00B26957">
        <w:rPr>
          <w:rFonts w:ascii="Times New Roman" w:hAnsi="Times New Roman" w:cs="Times New Roman"/>
          <w:sz w:val="24"/>
          <w:szCs w:val="24"/>
        </w:rPr>
        <w:t>В следствии повышения давления сетевой воды, ввиду ошибочных действий персонала, произошло 27 повреждений тепловых сетей города, что в последствии привело к длительному нарушению теплоснабжения потребителей.  За ноябрь, декабрь 2022г по причине несоблюдения температурного графика теплоснабжения города, проведением регулировочных работ по восстановлению температурных параметров на магистральных и внутриквартальных сетях было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о списании тепловой энергии</w:t>
      </w:r>
      <w:r w:rsidRPr="00B2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города Экибастуза. В результате перерасчетов было списано </w:t>
      </w:r>
      <w:r w:rsidRPr="00B26957">
        <w:rPr>
          <w:rFonts w:ascii="Times New Roman" w:hAnsi="Times New Roman" w:cs="Times New Roman"/>
          <w:sz w:val="24"/>
          <w:szCs w:val="24"/>
        </w:rPr>
        <w:t>39,620 тыс. Гкал тепловой энергии.</w:t>
      </w:r>
    </w:p>
    <w:p w:rsidR="00C239D3" w:rsidRDefault="00C239D3" w:rsidP="00C239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года, с учетом списания тепловой энергии в ноябре, декабре, объем предоставленных услуг составил 812,631 тыс. Гкал, </w:t>
      </w:r>
      <w:r w:rsidR="00D76800">
        <w:rPr>
          <w:rFonts w:ascii="Times New Roman" w:hAnsi="Times New Roman" w:cs="Times New Roman"/>
          <w:sz w:val="24"/>
          <w:szCs w:val="24"/>
        </w:rPr>
        <w:t>указанное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количество отражено в исполнении тарифной сметы. Исходя из этого объема за 2022г получен доход в сумме 4 041 142 тыс. тенге. В тарифной смете доход составил 5 074 411 тыс. тенге.</w:t>
      </w:r>
    </w:p>
    <w:p w:rsidR="00C239D3" w:rsidRPr="00B26957" w:rsidRDefault="00C239D3" w:rsidP="00C239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снижение объема реализации в 2022г также повлияла и установка приборов учета тепловой энергии з</w:t>
      </w:r>
      <w:r w:rsidRPr="00B26957">
        <w:rPr>
          <w:rFonts w:ascii="Times New Roman" w:hAnsi="Times New Roman" w:cs="Times New Roman"/>
          <w:sz w:val="24"/>
          <w:szCs w:val="24"/>
        </w:rPr>
        <w:t>а 2022 год на многоэтажных домах установлено 28 прибора учета, юридические лица – 25 приборов, частный сектор 132 прибора учета.</w:t>
      </w:r>
    </w:p>
    <w:p w:rsidR="00C239D3" w:rsidRDefault="00F72D43" w:rsidP="00F72D43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t xml:space="preserve">Об основных финансово-экономических показателях деятельности субъекта естественной монополии за </w:t>
      </w:r>
      <w:r w:rsidR="00F47D0D" w:rsidRPr="00F47D0D">
        <w:rPr>
          <w:b/>
          <w:sz w:val="24"/>
          <w:szCs w:val="24"/>
        </w:rPr>
        <w:t>2022г.</w:t>
      </w:r>
    </w:p>
    <w:p w:rsidR="00F47D0D" w:rsidRPr="00F47D0D" w:rsidRDefault="00F47D0D" w:rsidP="00F47D0D">
      <w:pPr>
        <w:pStyle w:val="a3"/>
        <w:widowControl w:val="0"/>
        <w:spacing w:line="240" w:lineRule="auto"/>
        <w:ind w:left="786"/>
        <w:jc w:val="both"/>
        <w:rPr>
          <w:b/>
          <w:sz w:val="24"/>
          <w:szCs w:val="24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5760"/>
        <w:gridCol w:w="1900"/>
      </w:tblGrid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Доход 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4 167 156</w:t>
            </w:r>
          </w:p>
        </w:tc>
      </w:tr>
      <w:tr w:rsidR="00F47D0D" w:rsidRPr="00B610E5" w:rsidTr="003B7921">
        <w:trPr>
          <w:trHeight w:val="6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sz w:val="18"/>
                <w:szCs w:val="18"/>
              </w:rPr>
            </w:pPr>
            <w:r w:rsidRPr="00B610E5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оход от производства, передачи,</w:t>
            </w:r>
            <w:r w:rsidRPr="00B610E5">
              <w:rPr>
                <w:rFonts w:ascii="Arial" w:hAnsi="Arial" w:cs="Arial"/>
                <w:sz w:val="18"/>
                <w:szCs w:val="18"/>
              </w:rPr>
              <w:t xml:space="preserve"> распределения </w:t>
            </w:r>
            <w:r>
              <w:rPr>
                <w:rFonts w:ascii="Arial" w:hAnsi="Arial" w:cs="Arial"/>
                <w:sz w:val="18"/>
                <w:szCs w:val="18"/>
              </w:rPr>
              <w:t>и снабжения тепловой энергией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4 041 142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sz w:val="18"/>
                <w:szCs w:val="18"/>
              </w:rPr>
            </w:pPr>
            <w:r w:rsidRPr="00B610E5">
              <w:rPr>
                <w:rFonts w:ascii="Arial" w:hAnsi="Arial" w:cs="Arial"/>
                <w:sz w:val="18"/>
                <w:szCs w:val="18"/>
              </w:rPr>
              <w:t>Доход от побочной про</w:t>
            </w:r>
            <w:r>
              <w:rPr>
                <w:rFonts w:ascii="Arial" w:hAnsi="Arial" w:cs="Arial"/>
                <w:sz w:val="18"/>
                <w:szCs w:val="18"/>
              </w:rPr>
              <w:t xml:space="preserve">дукции (подпитка, невозврат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конд</w:t>
            </w:r>
            <w:proofErr w:type="spellEnd"/>
            <w:r w:rsidRPr="00B610E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перерасчеты</w:t>
            </w:r>
            <w:r w:rsidRPr="00B61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21 363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Прочие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104 651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6 045 704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627 404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по реализации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124 714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986 207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Прибыль +, убыток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- 3 616 873</w:t>
            </w:r>
          </w:p>
        </w:tc>
      </w:tr>
      <w:tr w:rsidR="00F47D0D" w:rsidRPr="00E81F48" w:rsidTr="003B7921">
        <w:trPr>
          <w:trHeight w:val="4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Расход по подоходному налогу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0D" w:rsidRPr="00E81F48" w:rsidRDefault="00F47D0D" w:rsidP="003B79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81F48">
              <w:rPr>
                <w:rFonts w:ascii="Calibri" w:hAnsi="Calibri" w:cs="Calibri"/>
                <w:sz w:val="18"/>
                <w:szCs w:val="18"/>
              </w:rPr>
              <w:t>59 868</w:t>
            </w:r>
          </w:p>
        </w:tc>
      </w:tr>
      <w:tr w:rsidR="00F47D0D" w:rsidRPr="00B610E5" w:rsidTr="003B7921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D" w:rsidRPr="00B610E5" w:rsidRDefault="00F47D0D" w:rsidP="003B7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sz w:val="18"/>
                <w:szCs w:val="18"/>
              </w:rPr>
              <w:t>Прибыль +, убыток - (после налогообложения)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0D" w:rsidRPr="00B610E5" w:rsidRDefault="00F47D0D" w:rsidP="003B79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-3 676 741</w:t>
            </w:r>
          </w:p>
        </w:tc>
      </w:tr>
    </w:tbl>
    <w:p w:rsidR="00056199" w:rsidRPr="00BE5805" w:rsidRDefault="00056199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056199" w:rsidRPr="00F47D0D" w:rsidRDefault="00056199" w:rsidP="00F47D0D">
      <w:pPr>
        <w:pStyle w:val="a3"/>
        <w:widowControl w:val="0"/>
        <w:numPr>
          <w:ilvl w:val="0"/>
          <w:numId w:val="4"/>
        </w:numPr>
        <w:spacing w:line="240" w:lineRule="auto"/>
        <w:jc w:val="left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lastRenderedPageBreak/>
        <w:t>Исполнение инвестиционной программы за 2022г</w:t>
      </w:r>
      <w:r w:rsidR="00F47D0D">
        <w:rPr>
          <w:b/>
          <w:sz w:val="24"/>
          <w:szCs w:val="24"/>
        </w:rPr>
        <w:t>, утвержденной уполномоченным органом</w:t>
      </w:r>
    </w:p>
    <w:p w:rsidR="001E1CE9" w:rsidRPr="001E1CE9" w:rsidRDefault="001E1CE9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473622" w:rsidRDefault="00056199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утверждена на </w:t>
      </w:r>
      <w:proofErr w:type="gramStart"/>
      <w:r>
        <w:rPr>
          <w:sz w:val="24"/>
          <w:szCs w:val="24"/>
        </w:rPr>
        <w:t xml:space="preserve">сумму </w:t>
      </w:r>
      <w:r w:rsidR="00941198">
        <w:rPr>
          <w:sz w:val="24"/>
          <w:szCs w:val="24"/>
        </w:rPr>
        <w:t xml:space="preserve"> 537</w:t>
      </w:r>
      <w:proofErr w:type="gramEnd"/>
      <w:r w:rsidR="00941198">
        <w:rPr>
          <w:sz w:val="24"/>
          <w:szCs w:val="24"/>
        </w:rPr>
        <w:t> 761 тыс. тенге.</w:t>
      </w:r>
    </w:p>
    <w:p w:rsidR="00941198" w:rsidRDefault="00941198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500 015 тыс. тенге. Недовыполнение 37 746 тыс. тенге (7%)</w:t>
      </w:r>
      <w:r w:rsidR="001B4755">
        <w:rPr>
          <w:sz w:val="24"/>
          <w:szCs w:val="24"/>
        </w:rPr>
        <w:t>.</w:t>
      </w:r>
    </w:p>
    <w:p w:rsidR="001B4755" w:rsidRPr="00AA2257" w:rsidRDefault="001B4755" w:rsidP="001B4755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  <w:r w:rsidRPr="00701C19">
        <w:rPr>
          <w:sz w:val="24"/>
          <w:szCs w:val="24"/>
        </w:rPr>
        <w:t xml:space="preserve">При рассмотрении освоения ИП необходимо учесть, тот факт, что из-за применения дифференцированного тарифа предприятием </w:t>
      </w:r>
      <w:proofErr w:type="spellStart"/>
      <w:r w:rsidRPr="00701C19">
        <w:rPr>
          <w:sz w:val="24"/>
          <w:szCs w:val="24"/>
        </w:rPr>
        <w:t>недополучен</w:t>
      </w:r>
      <w:proofErr w:type="spellEnd"/>
      <w:r w:rsidRPr="00701C19">
        <w:rPr>
          <w:sz w:val="24"/>
          <w:szCs w:val="24"/>
        </w:rPr>
        <w:t xml:space="preserve"> доход в размере </w:t>
      </w:r>
      <w:r w:rsidRPr="00701C19">
        <w:rPr>
          <w:b/>
          <w:sz w:val="24"/>
          <w:szCs w:val="24"/>
        </w:rPr>
        <w:t>492 9</w:t>
      </w:r>
      <w:r w:rsidR="00792BF7" w:rsidRPr="00701C19">
        <w:rPr>
          <w:b/>
          <w:sz w:val="24"/>
          <w:szCs w:val="24"/>
        </w:rPr>
        <w:t>74</w:t>
      </w:r>
      <w:r w:rsidRPr="00701C19">
        <w:rPr>
          <w:b/>
          <w:sz w:val="24"/>
          <w:szCs w:val="24"/>
        </w:rPr>
        <w:t xml:space="preserve"> тыс. тенге.</w:t>
      </w:r>
      <w:r w:rsidRPr="00AA2257">
        <w:rPr>
          <w:b/>
          <w:sz w:val="24"/>
          <w:szCs w:val="24"/>
        </w:rPr>
        <w:t xml:space="preserve"> </w:t>
      </w:r>
    </w:p>
    <w:p w:rsidR="001B4755" w:rsidRDefault="001B4755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941198" w:rsidRPr="001B4755" w:rsidRDefault="00941198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  <w:r w:rsidRPr="001B4755">
        <w:rPr>
          <w:b/>
          <w:sz w:val="24"/>
          <w:szCs w:val="24"/>
        </w:rPr>
        <w:t xml:space="preserve">Инвестиционная программа </w:t>
      </w:r>
    </w:p>
    <w:p w:rsidR="00056199" w:rsidRPr="001B4755" w:rsidRDefault="00473622" w:rsidP="00473622">
      <w:pPr>
        <w:pStyle w:val="a3"/>
        <w:widowControl w:val="0"/>
        <w:spacing w:line="240" w:lineRule="auto"/>
        <w:jc w:val="both"/>
        <w:rPr>
          <w:b/>
        </w:rPr>
      </w:pPr>
      <w:r w:rsidRPr="001B4755">
        <w:rPr>
          <w:b/>
          <w:sz w:val="24"/>
          <w:szCs w:val="24"/>
        </w:rPr>
        <w:tab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40"/>
        <w:gridCol w:w="3608"/>
        <w:gridCol w:w="992"/>
        <w:gridCol w:w="709"/>
        <w:gridCol w:w="850"/>
        <w:gridCol w:w="851"/>
        <w:gridCol w:w="850"/>
        <w:gridCol w:w="766"/>
        <w:gridCol w:w="1194"/>
      </w:tblGrid>
      <w:tr w:rsidR="00056199" w:rsidRPr="00056199" w:rsidTr="00941198">
        <w:trPr>
          <w:trHeight w:val="5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мероприятий инвестиционной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Cтатус</w:t>
            </w:r>
            <w:proofErr w:type="spellEnd"/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-37 746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секции №2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золоотвала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ложе озера Туз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Строительно-монтажные работы. Договор № 315/21.02/D-112-1 от 20.10.2021 с ТОО «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Sky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Building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Company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85 605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Консервация секции №1 (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)/ Договор  №13/22.01/F161 от 21.01.22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GeoConstruction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ТМЦ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кровли КВТК ряд Б-В. Договор № 129/21.02/D-71 от 03.06.2021 с ПК 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АКЗ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проф.листа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кровли КВТК ряд Б-В. Договор №200/22.02/5017 от 19.09.2022 с ПК "СОЮЗ"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оборудования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котлоагрегатов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ЭТЭЦ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котёл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-31 474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№13. Договор №103/21.02/D-53 от 11.05.21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Доп.работы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реконструкции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№13. Договор №232/22.02/5631 от 07.11.2022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31 832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№14. Договор №120/22.02/D22-116 от 13.06.22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193 174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Реконструкция частотных преобразователей ШПСУ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котлоагрегатов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ЭТЭЦ .</w:t>
            </w:r>
            <w:proofErr w:type="gram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Договор №274/22.02/6206 от 06.12.2022 с ТОО "Монтажное управление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обмотки электродвигателей котельно-вспомогательного оборудования. Договор №238/22.02/5757 от 09.11.22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Техноцентр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-Экибастуз"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Заливка и расточка подшипников ШБМ. Договор №240/22.02/5782 от 17.11.22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Целингормаш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ленточных конвейеров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BA3898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транспортёрная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Договор №88/22.01/1822 от 20.05.2022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Smart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Energy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Services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Клей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тип-топ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Договор №53/22.01/1565 от 24.03.22 с ТОО "Мастер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Сату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-5 099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Насос VEDA L70N. Договор № 202/22.01/Z 22 -138 от 22.09.22 ТОО "Компания Биг Сити"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125 и 150 мм. Договор № 125/22.01/3293 от 16.06.2022г с ИП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КазЭнергоПром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МФУ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LaserJet pro M428dn (W1A32A).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Договор №178/22.01/Ж22-6 от 12.08.22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ПлюсмикроТорговый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LaserJetPro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M428fdn. 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Принтер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HP LaserJet Enterprise M611dn.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Монитор HP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EliteDisplay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E233. 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Системный блок HP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ProDesk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400 G7 MT. Договор № 199/22.01/Ж22-20 от 16.09.22 с ТОО "Компьютерный сервис"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473622" w:rsidRPr="00BA711E" w:rsidRDefault="00473622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p w:rsidR="00473622" w:rsidRDefault="00473622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sectPr w:rsidR="00473622" w:rsidSect="001F509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1C"/>
    <w:multiLevelType w:val="hybridMultilevel"/>
    <w:tmpl w:val="BA3AD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FF97EBF"/>
    <w:multiLevelType w:val="hybridMultilevel"/>
    <w:tmpl w:val="AA3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3"/>
    <w:rsid w:val="00020934"/>
    <w:rsid w:val="000304FD"/>
    <w:rsid w:val="000326A7"/>
    <w:rsid w:val="00056160"/>
    <w:rsid w:val="00056199"/>
    <w:rsid w:val="000948D7"/>
    <w:rsid w:val="000A6E8D"/>
    <w:rsid w:val="000C41EC"/>
    <w:rsid w:val="000C7573"/>
    <w:rsid w:val="000F5D58"/>
    <w:rsid w:val="00100800"/>
    <w:rsid w:val="00172897"/>
    <w:rsid w:val="00173243"/>
    <w:rsid w:val="001B4755"/>
    <w:rsid w:val="001B5E38"/>
    <w:rsid w:val="001E1CE9"/>
    <w:rsid w:val="001F29A8"/>
    <w:rsid w:val="001F5091"/>
    <w:rsid w:val="0026002F"/>
    <w:rsid w:val="002610E8"/>
    <w:rsid w:val="0026521C"/>
    <w:rsid w:val="002729E6"/>
    <w:rsid w:val="002B7355"/>
    <w:rsid w:val="002E3282"/>
    <w:rsid w:val="00355181"/>
    <w:rsid w:val="003C0D3C"/>
    <w:rsid w:val="003E6868"/>
    <w:rsid w:val="003F09B2"/>
    <w:rsid w:val="004077EC"/>
    <w:rsid w:val="004179A4"/>
    <w:rsid w:val="0043242D"/>
    <w:rsid w:val="004360FA"/>
    <w:rsid w:val="00473622"/>
    <w:rsid w:val="00481DB7"/>
    <w:rsid w:val="004C4962"/>
    <w:rsid w:val="00513419"/>
    <w:rsid w:val="00527CC3"/>
    <w:rsid w:val="00545DBD"/>
    <w:rsid w:val="0057436F"/>
    <w:rsid w:val="005770EE"/>
    <w:rsid w:val="005910EE"/>
    <w:rsid w:val="005C2903"/>
    <w:rsid w:val="005D2158"/>
    <w:rsid w:val="005F4CEC"/>
    <w:rsid w:val="006139DA"/>
    <w:rsid w:val="00631D61"/>
    <w:rsid w:val="00640E3B"/>
    <w:rsid w:val="00681532"/>
    <w:rsid w:val="006C64BE"/>
    <w:rsid w:val="006D68F7"/>
    <w:rsid w:val="006E3920"/>
    <w:rsid w:val="00701C19"/>
    <w:rsid w:val="0077223E"/>
    <w:rsid w:val="00774FEF"/>
    <w:rsid w:val="007809C7"/>
    <w:rsid w:val="00792BF7"/>
    <w:rsid w:val="007B006A"/>
    <w:rsid w:val="007E7972"/>
    <w:rsid w:val="00835D10"/>
    <w:rsid w:val="00854FC1"/>
    <w:rsid w:val="0090333A"/>
    <w:rsid w:val="0090592A"/>
    <w:rsid w:val="00910213"/>
    <w:rsid w:val="0091794E"/>
    <w:rsid w:val="00941198"/>
    <w:rsid w:val="00956BFC"/>
    <w:rsid w:val="00966BE5"/>
    <w:rsid w:val="00991DBA"/>
    <w:rsid w:val="00993269"/>
    <w:rsid w:val="009A0734"/>
    <w:rsid w:val="009A79C1"/>
    <w:rsid w:val="00A12051"/>
    <w:rsid w:val="00A26F79"/>
    <w:rsid w:val="00A32072"/>
    <w:rsid w:val="00A3589C"/>
    <w:rsid w:val="00A55B9A"/>
    <w:rsid w:val="00A67E71"/>
    <w:rsid w:val="00AA2257"/>
    <w:rsid w:val="00AD477A"/>
    <w:rsid w:val="00AE6D7F"/>
    <w:rsid w:val="00B260E1"/>
    <w:rsid w:val="00B26957"/>
    <w:rsid w:val="00B37936"/>
    <w:rsid w:val="00B5175B"/>
    <w:rsid w:val="00BA3898"/>
    <w:rsid w:val="00BE3FE4"/>
    <w:rsid w:val="00BE5805"/>
    <w:rsid w:val="00C239D3"/>
    <w:rsid w:val="00C3392B"/>
    <w:rsid w:val="00C517D6"/>
    <w:rsid w:val="00C520D3"/>
    <w:rsid w:val="00C53F56"/>
    <w:rsid w:val="00C57D37"/>
    <w:rsid w:val="00C735F3"/>
    <w:rsid w:val="00C91500"/>
    <w:rsid w:val="00CC3886"/>
    <w:rsid w:val="00CD2282"/>
    <w:rsid w:val="00CD52EE"/>
    <w:rsid w:val="00CE3BD3"/>
    <w:rsid w:val="00D276A4"/>
    <w:rsid w:val="00D4228C"/>
    <w:rsid w:val="00D42F04"/>
    <w:rsid w:val="00D65D20"/>
    <w:rsid w:val="00D76800"/>
    <w:rsid w:val="00DB0209"/>
    <w:rsid w:val="00DB5542"/>
    <w:rsid w:val="00DC4A94"/>
    <w:rsid w:val="00DE12C8"/>
    <w:rsid w:val="00E03BB4"/>
    <w:rsid w:val="00E201FE"/>
    <w:rsid w:val="00E40C6E"/>
    <w:rsid w:val="00E57EFE"/>
    <w:rsid w:val="00E732F6"/>
    <w:rsid w:val="00E81F48"/>
    <w:rsid w:val="00EA245E"/>
    <w:rsid w:val="00F1779F"/>
    <w:rsid w:val="00F33A2B"/>
    <w:rsid w:val="00F47D0D"/>
    <w:rsid w:val="00F72D43"/>
    <w:rsid w:val="00FB6A55"/>
    <w:rsid w:val="00FC49B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BE4"/>
  <w15:chartTrackingRefBased/>
  <w15:docId w15:val="{EE792497-4257-43FD-97E4-D02FF1C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C0D3C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C0D3C"/>
    <w:rPr>
      <w:color w:val="000000"/>
    </w:rPr>
  </w:style>
  <w:style w:type="paragraph" w:styleId="a3">
    <w:name w:val="Body Text"/>
    <w:basedOn w:val="a"/>
    <w:link w:val="a4"/>
    <w:rsid w:val="00473622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6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79F"/>
    <w:pPr>
      <w:spacing w:after="0" w:line="240" w:lineRule="auto"/>
      <w:ind w:left="720"/>
    </w:pPr>
    <w:rPr>
      <w:rFonts w:ascii="Calibri" w:hAnsi="Calibri" w:cs="Calibri"/>
    </w:rPr>
  </w:style>
  <w:style w:type="character" w:styleId="a7">
    <w:name w:val="Hyperlink"/>
    <w:uiPriority w:val="99"/>
    <w:semiHidden/>
    <w:unhideWhenUsed/>
    <w:rsid w:val="00C239D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C239D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C239D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32041964.28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3DFA-E8C6-4236-AA9D-9E7BB654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4</cp:revision>
  <dcterms:created xsi:type="dcterms:W3CDTF">2023-04-20T05:36:00Z</dcterms:created>
  <dcterms:modified xsi:type="dcterms:W3CDTF">2023-04-24T14:37:00Z</dcterms:modified>
</cp:coreProperties>
</file>