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9D" w:rsidRPr="0091429D" w:rsidRDefault="0091429D" w:rsidP="0091429D">
      <w:pPr>
        <w:ind w:firstLine="400"/>
        <w:jc w:val="center"/>
        <w:rPr>
          <w:b/>
          <w:sz w:val="24"/>
          <w:szCs w:val="24"/>
        </w:rPr>
      </w:pPr>
      <w:r w:rsidRPr="0091429D">
        <w:rPr>
          <w:b/>
          <w:sz w:val="24"/>
          <w:szCs w:val="24"/>
        </w:rPr>
        <w:t xml:space="preserve">Ежегодный отчет </w:t>
      </w:r>
      <w:r w:rsidRPr="0091429D">
        <w:rPr>
          <w:b/>
          <w:bCs/>
          <w:sz w:val="24"/>
          <w:szCs w:val="24"/>
        </w:rPr>
        <w:t>о деятельности</w:t>
      </w:r>
      <w:r w:rsidRPr="0091429D">
        <w:rPr>
          <w:b/>
          <w:sz w:val="24"/>
          <w:szCs w:val="24"/>
        </w:rPr>
        <w:t xml:space="preserve"> АО «ПАВЛОДАРЭНЕРГО» </w:t>
      </w:r>
    </w:p>
    <w:p w:rsidR="0091429D" w:rsidRPr="0091429D" w:rsidRDefault="0091429D" w:rsidP="0091429D">
      <w:pPr>
        <w:ind w:firstLine="400"/>
        <w:jc w:val="center"/>
        <w:rPr>
          <w:b/>
          <w:sz w:val="24"/>
          <w:szCs w:val="24"/>
        </w:rPr>
      </w:pPr>
      <w:r w:rsidRPr="0091429D">
        <w:rPr>
          <w:b/>
          <w:bCs/>
          <w:sz w:val="24"/>
          <w:szCs w:val="24"/>
        </w:rPr>
        <w:t xml:space="preserve">по производству тепловой энергии </w:t>
      </w:r>
      <w:r w:rsidRPr="0091429D">
        <w:rPr>
          <w:b/>
          <w:sz w:val="24"/>
          <w:szCs w:val="24"/>
        </w:rPr>
        <w:t xml:space="preserve">и исполнении инвестиционных программ </w:t>
      </w:r>
    </w:p>
    <w:p w:rsidR="0091429D" w:rsidRPr="0091429D" w:rsidRDefault="0091429D" w:rsidP="0091429D">
      <w:pPr>
        <w:ind w:firstLine="400"/>
        <w:jc w:val="center"/>
        <w:rPr>
          <w:b/>
          <w:sz w:val="24"/>
          <w:szCs w:val="24"/>
        </w:rPr>
      </w:pPr>
      <w:r w:rsidRPr="0091429D">
        <w:rPr>
          <w:b/>
          <w:sz w:val="24"/>
          <w:szCs w:val="24"/>
        </w:rPr>
        <w:t>за 2021 год</w:t>
      </w:r>
    </w:p>
    <w:p w:rsidR="0091429D" w:rsidRPr="0091429D" w:rsidRDefault="0091429D" w:rsidP="0091429D">
      <w:pPr>
        <w:ind w:firstLine="400"/>
        <w:jc w:val="center"/>
        <w:rPr>
          <w:b/>
          <w:sz w:val="24"/>
          <w:szCs w:val="24"/>
        </w:rPr>
      </w:pPr>
    </w:p>
    <w:p w:rsidR="0091429D" w:rsidRPr="0091429D" w:rsidRDefault="0091429D" w:rsidP="0091429D">
      <w:pPr>
        <w:rPr>
          <w:sz w:val="22"/>
          <w:szCs w:val="24"/>
        </w:rPr>
      </w:pPr>
      <w:bookmarkStart w:id="0" w:name="OLE_LINK1"/>
      <w:bookmarkStart w:id="1" w:name="OLE_LINK2"/>
      <w:r w:rsidRPr="0091429D">
        <w:rPr>
          <w:sz w:val="22"/>
          <w:szCs w:val="24"/>
        </w:rPr>
        <w:t xml:space="preserve">в соответствии с: </w:t>
      </w:r>
    </w:p>
    <w:p w:rsidR="00C27D68" w:rsidRPr="00C27D68" w:rsidRDefault="00C27D68" w:rsidP="00C27D68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  <w:r w:rsidRPr="009B0256">
        <w:rPr>
          <w:sz w:val="22"/>
          <w:szCs w:val="22"/>
        </w:rPr>
        <w:t>п.289</w:t>
      </w:r>
      <w:r>
        <w:rPr>
          <w:sz w:val="22"/>
          <w:szCs w:val="22"/>
        </w:rPr>
        <w:t>/п.292</w:t>
      </w:r>
      <w:r w:rsidRPr="009B0256">
        <w:rPr>
          <w:sz w:val="22"/>
          <w:szCs w:val="22"/>
        </w:rPr>
        <w:t xml:space="preserve"> главы 7. </w:t>
      </w:r>
      <w:proofErr w:type="gramStart"/>
      <w:r w:rsidRPr="009B0256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Министра национальной экономики Республики Казахстан от 13 августа 2019 года № 73 </w:t>
      </w:r>
      <w:r w:rsidRPr="009B0256">
        <w:rPr>
          <w:rStyle w:val="s1"/>
          <w:rFonts w:ascii="Times New Roman" w:hAnsi="Times New Roman" w:cs="Times New Roman"/>
          <w:sz w:val="22"/>
          <w:szCs w:val="22"/>
        </w:rPr>
        <w:t>«</w:t>
      </w:r>
      <w:r w:rsidRPr="009B0256">
        <w:rPr>
          <w:rStyle w:val="s0"/>
          <w:sz w:val="22"/>
          <w:szCs w:val="22"/>
        </w:rPr>
        <w:t xml:space="preserve">Субъект естественной монополии в сроки, </w:t>
      </w:r>
      <w:r w:rsidRPr="009B0256">
        <w:rPr>
          <w:rStyle w:val="s0"/>
          <w:bCs/>
          <w:iCs/>
          <w:sz w:val="22"/>
          <w:szCs w:val="22"/>
        </w:rPr>
        <w:t xml:space="preserve">установленные </w:t>
      </w:r>
      <w:hyperlink r:id="rId6" w:history="1">
        <w:r w:rsidRPr="009B0256">
          <w:rPr>
            <w:rStyle w:val="aa"/>
            <w:bCs w:val="0"/>
            <w:iCs/>
            <w:sz w:val="22"/>
            <w:szCs w:val="22"/>
          </w:rPr>
          <w:t>пунктом 287</w:t>
        </w:r>
      </w:hyperlink>
      <w:r w:rsidRPr="009B0256">
        <w:rPr>
          <w:rStyle w:val="s2"/>
          <w:bCs/>
          <w:iCs/>
          <w:color w:val="000080"/>
          <w:sz w:val="22"/>
          <w:szCs w:val="22"/>
        </w:rPr>
        <w:t xml:space="preserve"> </w:t>
      </w:r>
      <w:r w:rsidRPr="009B0256">
        <w:rPr>
          <w:rStyle w:val="s0"/>
          <w:sz w:val="22"/>
          <w:szCs w:val="22"/>
        </w:rPr>
        <w:t xml:space="preserve"> настоящих Правил, </w:t>
      </w:r>
      <w:r w:rsidRPr="009B0256">
        <w:rPr>
          <w:rStyle w:val="s0"/>
          <w:bCs/>
          <w:sz w:val="22"/>
          <w:szCs w:val="22"/>
        </w:rPr>
        <w:t>размещает в средствах массовой информации</w:t>
      </w:r>
      <w:r w:rsidRPr="009B0256">
        <w:rPr>
          <w:rStyle w:val="s0"/>
          <w:sz w:val="22"/>
          <w:szCs w:val="22"/>
        </w:rPr>
        <w:t xml:space="preserve">, распространяемых на территории соответствующей административно-территориальной единицы, отчеты перед потребителями и иными заинтересованными лицами </w:t>
      </w:r>
      <w:r w:rsidRPr="009B0256">
        <w:rPr>
          <w:rStyle w:val="s0"/>
          <w:bCs/>
          <w:sz w:val="22"/>
          <w:szCs w:val="22"/>
        </w:rPr>
        <w:t>об исполнении утвержденной тарифной сметы, об исполнении утвержденной инвестиционной программы,</w:t>
      </w:r>
      <w:r w:rsidRPr="009B0256">
        <w:rPr>
          <w:rStyle w:val="s0"/>
          <w:sz w:val="22"/>
          <w:szCs w:val="22"/>
        </w:rPr>
        <w:t xml:space="preserve"> о соблюдении показателей качества и надежности регулируемых услуг и достижении</w:t>
      </w:r>
      <w:proofErr w:type="gramEnd"/>
      <w:r w:rsidRPr="009B0256">
        <w:rPr>
          <w:rStyle w:val="s0"/>
          <w:sz w:val="22"/>
          <w:szCs w:val="22"/>
        </w:rPr>
        <w:t xml:space="preserve"> показателей эффективности деятельности субъектов естественных монополий с обоснованиями, в том </w:t>
      </w:r>
      <w:r w:rsidRPr="009B0256">
        <w:rPr>
          <w:rStyle w:val="s0"/>
          <w:bCs/>
          <w:sz w:val="22"/>
          <w:szCs w:val="22"/>
        </w:rPr>
        <w:t>числе финансовую отчетность</w:t>
      </w:r>
      <w:proofErr w:type="gramStart"/>
      <w:r w:rsidRPr="009B0256">
        <w:rPr>
          <w:rStyle w:val="s0"/>
          <w:bCs/>
          <w:sz w:val="22"/>
          <w:szCs w:val="22"/>
        </w:rPr>
        <w:t>.</w:t>
      </w:r>
      <w:r w:rsidRPr="009B0256">
        <w:rPr>
          <w:rStyle w:val="s1"/>
          <w:rFonts w:ascii="Times New Roman" w:hAnsi="Times New Roman" w:cs="Times New Roman"/>
          <w:sz w:val="22"/>
          <w:szCs w:val="22"/>
        </w:rPr>
        <w:t>»;</w:t>
      </w:r>
      <w:proofErr w:type="gramEnd"/>
    </w:p>
    <w:p w:rsidR="00C27D68" w:rsidRPr="009B0256" w:rsidRDefault="00C27D68" w:rsidP="00C27D68">
      <w:pPr>
        <w:pStyle w:val="a3"/>
        <w:jc w:val="both"/>
        <w:rPr>
          <w:rStyle w:val="s1"/>
          <w:rFonts w:ascii="Times New Roman" w:hAnsi="Times New Roman" w:cs="Times New Roman"/>
          <w:b w:val="0"/>
          <w:sz w:val="22"/>
          <w:szCs w:val="22"/>
        </w:rPr>
      </w:pPr>
    </w:p>
    <w:p w:rsidR="00C27D68" w:rsidRPr="00777F14" w:rsidRDefault="00C27D68" w:rsidP="00C27D68">
      <w:pPr>
        <w:suppressAutoHyphens/>
        <w:ind w:firstLine="567"/>
        <w:jc w:val="both"/>
        <w:rPr>
          <w:sz w:val="24"/>
          <w:szCs w:val="24"/>
        </w:rPr>
      </w:pPr>
      <w:r w:rsidRPr="00A12ABE">
        <w:rPr>
          <w:rFonts w:hint="eastAsia"/>
          <w:sz w:val="24"/>
          <w:szCs w:val="24"/>
        </w:rPr>
        <w:t>Публичные</w:t>
      </w:r>
      <w:r w:rsidRPr="00A12ABE">
        <w:rPr>
          <w:sz w:val="24"/>
          <w:szCs w:val="24"/>
        </w:rPr>
        <w:t xml:space="preserve"> </w:t>
      </w:r>
      <w:r w:rsidRPr="00A12ABE">
        <w:rPr>
          <w:rFonts w:hint="eastAsia"/>
          <w:sz w:val="24"/>
          <w:szCs w:val="24"/>
        </w:rPr>
        <w:t>слушания</w:t>
      </w:r>
      <w:r w:rsidRPr="00A12ABE">
        <w:rPr>
          <w:sz w:val="24"/>
          <w:szCs w:val="24"/>
        </w:rPr>
        <w:t xml:space="preserve">, </w:t>
      </w:r>
      <w:r w:rsidRPr="00A12ABE">
        <w:rPr>
          <w:rFonts w:hint="eastAsia"/>
          <w:sz w:val="24"/>
          <w:szCs w:val="24"/>
        </w:rPr>
        <w:t>назначенные</w:t>
      </w:r>
      <w:r w:rsidRPr="00A12ABE">
        <w:rPr>
          <w:sz w:val="24"/>
          <w:szCs w:val="24"/>
        </w:rPr>
        <w:t xml:space="preserve"> </w:t>
      </w:r>
      <w:r w:rsidRPr="00A12ABE">
        <w:rPr>
          <w:rFonts w:hint="eastAsia"/>
          <w:sz w:val="24"/>
          <w:szCs w:val="24"/>
        </w:rPr>
        <w:t>на</w:t>
      </w:r>
      <w:r w:rsidRPr="00A12ABE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A12ABE">
        <w:rPr>
          <w:sz w:val="24"/>
          <w:szCs w:val="24"/>
        </w:rPr>
        <w:t>.04.202</w:t>
      </w:r>
      <w:r>
        <w:rPr>
          <w:sz w:val="24"/>
          <w:szCs w:val="24"/>
        </w:rPr>
        <w:t>2</w:t>
      </w:r>
      <w:r w:rsidRPr="00A12ABE">
        <w:rPr>
          <w:sz w:val="24"/>
          <w:szCs w:val="24"/>
        </w:rPr>
        <w:t xml:space="preserve"> </w:t>
      </w:r>
      <w:r w:rsidRPr="00A12ABE">
        <w:rPr>
          <w:rFonts w:hint="eastAsia"/>
          <w:sz w:val="24"/>
          <w:szCs w:val="24"/>
        </w:rPr>
        <w:t>года</w:t>
      </w:r>
      <w:r w:rsidRPr="00A12ABE">
        <w:rPr>
          <w:sz w:val="24"/>
          <w:szCs w:val="24"/>
        </w:rPr>
        <w:t>,</w:t>
      </w:r>
      <w:r>
        <w:rPr>
          <w:sz w:val="24"/>
          <w:szCs w:val="24"/>
        </w:rPr>
        <w:t xml:space="preserve"> были </w:t>
      </w:r>
      <w:r w:rsidRPr="00777F14">
        <w:rPr>
          <w:sz w:val="24"/>
          <w:szCs w:val="24"/>
        </w:rPr>
        <w:t xml:space="preserve">проведены по адресу: </w:t>
      </w:r>
      <w:proofErr w:type="spellStart"/>
      <w:r w:rsidRPr="00777F14">
        <w:rPr>
          <w:sz w:val="24"/>
          <w:szCs w:val="24"/>
        </w:rPr>
        <w:t>г</w:t>
      </w:r>
      <w:proofErr w:type="gramStart"/>
      <w:r w:rsidRPr="00777F14">
        <w:rPr>
          <w:sz w:val="24"/>
          <w:szCs w:val="24"/>
        </w:rPr>
        <w:t>.П</w:t>
      </w:r>
      <w:proofErr w:type="gramEnd"/>
      <w:r w:rsidRPr="00777F14">
        <w:rPr>
          <w:sz w:val="24"/>
          <w:szCs w:val="24"/>
        </w:rPr>
        <w:t>авлодар</w:t>
      </w:r>
      <w:proofErr w:type="spellEnd"/>
      <w:r w:rsidRPr="00777F14">
        <w:rPr>
          <w:sz w:val="24"/>
          <w:szCs w:val="24"/>
        </w:rPr>
        <w:t xml:space="preserve">, </w:t>
      </w:r>
      <w:proofErr w:type="spellStart"/>
      <w:r w:rsidRPr="00777F14">
        <w:rPr>
          <w:sz w:val="24"/>
          <w:szCs w:val="24"/>
        </w:rPr>
        <w:t>ул.Кривенко</w:t>
      </w:r>
      <w:proofErr w:type="spellEnd"/>
      <w:r w:rsidRPr="00777F14">
        <w:rPr>
          <w:sz w:val="24"/>
          <w:szCs w:val="24"/>
        </w:rPr>
        <w:t>, 25 «А», к</w:t>
      </w:r>
      <w:r>
        <w:rPr>
          <w:sz w:val="24"/>
          <w:szCs w:val="24"/>
        </w:rPr>
        <w:t>онференц-зал здания ОО «</w:t>
      </w:r>
      <w:proofErr w:type="spellStart"/>
      <w:r>
        <w:rPr>
          <w:sz w:val="24"/>
          <w:szCs w:val="24"/>
        </w:rPr>
        <w:t>Amanat</w:t>
      </w:r>
      <w:proofErr w:type="spellEnd"/>
      <w:r>
        <w:rPr>
          <w:sz w:val="24"/>
          <w:szCs w:val="24"/>
        </w:rPr>
        <w:t>».</w:t>
      </w:r>
    </w:p>
    <w:p w:rsidR="0091429D" w:rsidRPr="0091429D" w:rsidRDefault="0091429D" w:rsidP="0091429D">
      <w:pPr>
        <w:jc w:val="both"/>
        <w:rPr>
          <w:sz w:val="24"/>
          <w:szCs w:val="24"/>
        </w:rPr>
      </w:pPr>
    </w:p>
    <w:p w:rsidR="0091429D" w:rsidRPr="0091429D" w:rsidRDefault="0091429D" w:rsidP="0091429D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91429D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91429D" w:rsidRPr="0091429D" w:rsidRDefault="0091429D" w:rsidP="0091429D">
      <w:pPr>
        <w:ind w:left="567"/>
        <w:contextualSpacing/>
        <w:jc w:val="both"/>
        <w:rPr>
          <w:color w:val="auto"/>
          <w:sz w:val="24"/>
          <w:szCs w:val="24"/>
          <w:highlight w:val="cyan"/>
        </w:rPr>
      </w:pPr>
    </w:p>
    <w:p w:rsidR="0091429D" w:rsidRPr="0091429D" w:rsidRDefault="0091429D" w:rsidP="0091429D">
      <w:pPr>
        <w:ind w:left="567"/>
        <w:contextualSpacing/>
        <w:jc w:val="both"/>
        <w:rPr>
          <w:color w:val="auto"/>
          <w:sz w:val="24"/>
          <w:szCs w:val="24"/>
          <w:highlight w:val="cyan"/>
        </w:rPr>
      </w:pPr>
    </w:p>
    <w:bookmarkEnd w:id="0"/>
    <w:bookmarkEnd w:id="1"/>
    <w:p w:rsidR="0091429D" w:rsidRPr="0091429D" w:rsidRDefault="0091429D" w:rsidP="0091429D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429D">
        <w:rPr>
          <w:color w:val="auto"/>
          <w:sz w:val="24"/>
          <w:szCs w:val="24"/>
        </w:rPr>
        <w:t xml:space="preserve">РГУ «ДКРЕМ МНЭ РК по Павлодарской области» </w:t>
      </w:r>
      <w:r w:rsidRPr="0091429D">
        <w:rPr>
          <w:sz w:val="24"/>
          <w:szCs w:val="24"/>
        </w:rPr>
        <w:t>была утверждена инвестиционная программа АО «ПАВЛОДАРЭНЕРГО» на услуги по производству тепловой энергии на 2021</w:t>
      </w:r>
      <w:r w:rsidR="00E549B7">
        <w:rPr>
          <w:sz w:val="24"/>
          <w:szCs w:val="24"/>
        </w:rPr>
        <w:t xml:space="preserve"> год</w:t>
      </w:r>
      <w:r w:rsidRPr="0091429D">
        <w:rPr>
          <w:sz w:val="24"/>
          <w:szCs w:val="24"/>
        </w:rPr>
        <w:t xml:space="preserve">. </w:t>
      </w:r>
      <w:r w:rsidRPr="0091429D">
        <w:rPr>
          <w:color w:val="000000" w:themeColor="text1"/>
          <w:sz w:val="24"/>
          <w:szCs w:val="24"/>
        </w:rPr>
        <w:t>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color w:val="000000" w:themeColor="text1"/>
          <w:sz w:val="24"/>
          <w:szCs w:val="24"/>
        </w:rPr>
        <w:t>На 2021 год сумма</w:t>
      </w:r>
      <w:r w:rsidR="00E549B7">
        <w:rPr>
          <w:color w:val="000000" w:themeColor="text1"/>
          <w:sz w:val="24"/>
          <w:szCs w:val="24"/>
        </w:rPr>
        <w:t xml:space="preserve"> инвестиционной программы</w:t>
      </w:r>
      <w:r w:rsidRPr="0091429D">
        <w:rPr>
          <w:color w:val="000000" w:themeColor="text1"/>
          <w:sz w:val="24"/>
          <w:szCs w:val="24"/>
        </w:rPr>
        <w:t xml:space="preserve"> </w:t>
      </w:r>
      <w:r w:rsidRPr="0091429D">
        <w:rPr>
          <w:sz w:val="24"/>
          <w:szCs w:val="24"/>
        </w:rPr>
        <w:t>по плану составила 1 120 350 тыс. тенге</w:t>
      </w:r>
      <w:r w:rsidR="00E549B7">
        <w:rPr>
          <w:sz w:val="24"/>
          <w:szCs w:val="24"/>
        </w:rPr>
        <w:t xml:space="preserve"> без НДС</w:t>
      </w:r>
      <w:r w:rsidRPr="0091429D">
        <w:rPr>
          <w:sz w:val="24"/>
          <w:szCs w:val="24"/>
        </w:rPr>
        <w:t>. Фактически за 2021 год АО «ПАВЛОДАРЭНЕРГО» выполнено мероприятий на общую сумму 1 122 360 тыс. тенге</w:t>
      </w:r>
      <w:r w:rsidR="00E549B7">
        <w:rPr>
          <w:sz w:val="24"/>
          <w:szCs w:val="24"/>
        </w:rPr>
        <w:t xml:space="preserve"> без НДС</w:t>
      </w:r>
      <w:r w:rsidRPr="0091429D">
        <w:rPr>
          <w:sz w:val="24"/>
          <w:szCs w:val="24"/>
        </w:rPr>
        <w:t>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В 2021 году выполнены работы: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– по строительству 3-й очереди золоотвала ТЭЦ-3 (строительно-монтажные работы) на сумму 74 362 тыс. тенге. Мероприятие, выполненное по инвестиционной программе, связано с необходимостью строительства 3-ей очереди золоотвала в связи приближающимся сроком исчерпания емкости действующего золоотвала. 3-я очередь золоотв</w:t>
      </w:r>
      <w:r w:rsidR="00E549B7">
        <w:rPr>
          <w:sz w:val="24"/>
          <w:szCs w:val="24"/>
        </w:rPr>
        <w:t xml:space="preserve">ала ТЭЦ-3 суммарной емкостью 15, </w:t>
      </w:r>
      <w:r w:rsidRPr="0091429D">
        <w:rPr>
          <w:sz w:val="24"/>
          <w:szCs w:val="24"/>
        </w:rPr>
        <w:t>614 млн</w:t>
      </w:r>
      <w:r w:rsidRPr="0091429D">
        <w:rPr>
          <w:color w:val="auto"/>
          <w:sz w:val="24"/>
          <w:szCs w:val="24"/>
        </w:rPr>
        <w:t xml:space="preserve">. м3 обеспечит складирование </w:t>
      </w:r>
      <w:proofErr w:type="spellStart"/>
      <w:r w:rsidRPr="0091429D">
        <w:rPr>
          <w:color w:val="auto"/>
          <w:sz w:val="24"/>
          <w:szCs w:val="24"/>
        </w:rPr>
        <w:t>золошлаков</w:t>
      </w:r>
      <w:proofErr w:type="spellEnd"/>
      <w:r w:rsidRPr="0091429D">
        <w:rPr>
          <w:color w:val="auto"/>
          <w:sz w:val="24"/>
          <w:szCs w:val="24"/>
        </w:rPr>
        <w:t xml:space="preserve"> ТЭЦ-3 в течение 10,5 лет при годовом выходе </w:t>
      </w:r>
      <w:proofErr w:type="spellStart"/>
      <w:r w:rsidRPr="0091429D">
        <w:rPr>
          <w:color w:val="auto"/>
          <w:sz w:val="24"/>
          <w:szCs w:val="24"/>
        </w:rPr>
        <w:t>золошлаков</w:t>
      </w:r>
      <w:proofErr w:type="spellEnd"/>
      <w:r w:rsidRPr="0091429D">
        <w:rPr>
          <w:color w:val="auto"/>
          <w:sz w:val="24"/>
          <w:szCs w:val="24"/>
        </w:rPr>
        <w:t xml:space="preserve"> 1</w:t>
      </w:r>
      <w:r w:rsidR="00E549B7">
        <w:rPr>
          <w:color w:val="auto"/>
          <w:sz w:val="24"/>
          <w:szCs w:val="24"/>
        </w:rPr>
        <w:t xml:space="preserve"> </w:t>
      </w:r>
      <w:r w:rsidRPr="0091429D">
        <w:rPr>
          <w:color w:val="auto"/>
          <w:sz w:val="24"/>
          <w:szCs w:val="24"/>
        </w:rPr>
        <w:t xml:space="preserve">200 тыс. тонн, а также позволит в перспективе выполнить наращивание золоотвала. Емкость золоотвала </w:t>
      </w:r>
      <w:r w:rsidRPr="0091429D">
        <w:rPr>
          <w:sz w:val="24"/>
          <w:szCs w:val="24"/>
        </w:rPr>
        <w:t xml:space="preserve">создана возведенными ограждающими дамбами с северо-восточной и юго-восточной сторон. С юго-западной и западной сторон </w:t>
      </w:r>
      <w:proofErr w:type="spellStart"/>
      <w:r w:rsidRPr="0091429D">
        <w:rPr>
          <w:sz w:val="24"/>
          <w:szCs w:val="24"/>
        </w:rPr>
        <w:t>золоотвал</w:t>
      </w:r>
      <w:proofErr w:type="spellEnd"/>
      <w:r w:rsidRPr="0091429D">
        <w:rPr>
          <w:sz w:val="24"/>
          <w:szCs w:val="24"/>
        </w:rPr>
        <w:t xml:space="preserve"> примыкает к действующему золоотвалу ТЭЦ-2 и отработанным законсервированным секциям </w:t>
      </w:r>
      <w:proofErr w:type="spellStart"/>
      <w:r w:rsidRPr="0091429D">
        <w:rPr>
          <w:sz w:val="24"/>
          <w:szCs w:val="24"/>
        </w:rPr>
        <w:t>золоотвалов</w:t>
      </w:r>
      <w:proofErr w:type="spellEnd"/>
      <w:r w:rsidRPr="0091429D">
        <w:rPr>
          <w:sz w:val="24"/>
          <w:szCs w:val="24"/>
        </w:rPr>
        <w:t xml:space="preserve"> ТЭЦ-2 и ТЭЦ-3 с отметками верха 145,25÷151,72 м.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 xml:space="preserve">Строительство новой емкости золоотвала произведено с соблюдением законов РК в области охраны окружающей среды, что позволило предотвратить загрязнение окружающей среды </w:t>
      </w:r>
      <w:proofErr w:type="spellStart"/>
      <w:r w:rsidRPr="0091429D">
        <w:rPr>
          <w:sz w:val="24"/>
          <w:szCs w:val="24"/>
        </w:rPr>
        <w:t>золошлаковыми</w:t>
      </w:r>
      <w:proofErr w:type="spellEnd"/>
      <w:r w:rsidRPr="0091429D">
        <w:rPr>
          <w:sz w:val="24"/>
          <w:szCs w:val="24"/>
        </w:rPr>
        <w:t xml:space="preserve"> отходами производства. Для снижения фильтрации из проектируемой секции золоотвала предусмотрено устройство экрана из </w:t>
      </w:r>
      <w:proofErr w:type="spellStart"/>
      <w:r w:rsidRPr="0091429D">
        <w:rPr>
          <w:sz w:val="24"/>
          <w:szCs w:val="24"/>
        </w:rPr>
        <w:t>геомембраны</w:t>
      </w:r>
      <w:proofErr w:type="spellEnd"/>
      <w:r w:rsidRPr="0091429D">
        <w:rPr>
          <w:sz w:val="24"/>
          <w:szCs w:val="24"/>
        </w:rPr>
        <w:t xml:space="preserve"> по ложу и бортам секции. Предусмотрен перехват фильтрационного потока дренажом ограждающей дамбы и последующий </w:t>
      </w:r>
      <w:r w:rsidRPr="0091429D">
        <w:rPr>
          <w:sz w:val="24"/>
          <w:szCs w:val="24"/>
        </w:rPr>
        <w:lastRenderedPageBreak/>
        <w:t>отвод фильтрационных вод для повторного использования, что сокращает объем подпитки систем ГЗУ стоками станций.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 xml:space="preserve">В качестве мероприятия по охране почв выполнено снятие верхнего слоя грунта с последующим использованием его для крепления внешних откосов ограждающих дамб и консервации отработанного золоотвала ТЭЦ-3. Для контроля за влиянием золоотвала на подземные воды, предусмотрено расширение существующей сети мониторинга, за счет создания дополнительных </w:t>
      </w:r>
      <w:proofErr w:type="spellStart"/>
      <w:r w:rsidRPr="0091429D">
        <w:rPr>
          <w:sz w:val="24"/>
          <w:szCs w:val="24"/>
        </w:rPr>
        <w:t>режимно</w:t>
      </w:r>
      <w:proofErr w:type="spellEnd"/>
      <w:r w:rsidRPr="0091429D">
        <w:rPr>
          <w:sz w:val="24"/>
          <w:szCs w:val="24"/>
        </w:rPr>
        <w:t xml:space="preserve">-наблюдательных скважин. 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Работы выполнены в полном объёме, оформлен акт приемки объекта в эксплуатацию от 27 декабря 2021 года.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 xml:space="preserve">– по рекультивации 2-ой очереди золоотвала ТЭЦ-3 (СМР, материалы, услуги) на сумму 137 429 тыс. тенге. Рекультивация отработанного золоотвала 2-ой очереди ТЭЦ-3, заполненного </w:t>
      </w:r>
      <w:proofErr w:type="spellStart"/>
      <w:r w:rsidRPr="0091429D">
        <w:rPr>
          <w:sz w:val="24"/>
          <w:szCs w:val="24"/>
        </w:rPr>
        <w:t>золошлаковыми</w:t>
      </w:r>
      <w:proofErr w:type="spellEnd"/>
      <w:r w:rsidRPr="0091429D">
        <w:rPr>
          <w:sz w:val="24"/>
          <w:szCs w:val="24"/>
        </w:rPr>
        <w:t xml:space="preserve"> отходами, необходима для предотвращения пыления поверхности намытых </w:t>
      </w:r>
      <w:proofErr w:type="spellStart"/>
      <w:r w:rsidRPr="0091429D">
        <w:rPr>
          <w:sz w:val="24"/>
          <w:szCs w:val="24"/>
        </w:rPr>
        <w:t>золошлаков</w:t>
      </w:r>
      <w:proofErr w:type="spellEnd"/>
      <w:r w:rsidRPr="0091429D">
        <w:rPr>
          <w:sz w:val="24"/>
          <w:szCs w:val="24"/>
        </w:rPr>
        <w:t xml:space="preserve"> отработанной секции.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Мероприятие выполнено по рабочему проекту №1346.РП.1644 «Рекультивация 2-ой очереди золоотвала ТЭЦ-3 АО «ПАВЛОДАРЭНЕРГО», разработанному АО</w:t>
      </w:r>
      <w:r w:rsidR="00E549B7">
        <w:rPr>
          <w:sz w:val="24"/>
          <w:szCs w:val="24"/>
        </w:rPr>
        <w:t xml:space="preserve"> «Институт «</w:t>
      </w:r>
      <w:proofErr w:type="spellStart"/>
      <w:r w:rsidR="00E549B7">
        <w:rPr>
          <w:sz w:val="24"/>
          <w:szCs w:val="24"/>
        </w:rPr>
        <w:t>КазНИПИЭнергопром</w:t>
      </w:r>
      <w:proofErr w:type="spellEnd"/>
      <w:r w:rsidR="00E549B7">
        <w:rPr>
          <w:sz w:val="24"/>
          <w:szCs w:val="24"/>
        </w:rPr>
        <w:t xml:space="preserve">». Проект прошел </w:t>
      </w:r>
      <w:r w:rsidRPr="0091429D">
        <w:rPr>
          <w:sz w:val="24"/>
          <w:szCs w:val="24"/>
        </w:rPr>
        <w:t>государственную экспертизу</w:t>
      </w:r>
      <w:r w:rsidR="00E549B7">
        <w:rPr>
          <w:sz w:val="24"/>
          <w:szCs w:val="24"/>
        </w:rPr>
        <w:t>,</w:t>
      </w:r>
      <w:r w:rsidRPr="0091429D">
        <w:rPr>
          <w:sz w:val="24"/>
          <w:szCs w:val="24"/>
        </w:rPr>
        <w:t xml:space="preserve"> </w:t>
      </w:r>
      <w:r w:rsidR="00E549B7">
        <w:rPr>
          <w:sz w:val="24"/>
          <w:szCs w:val="24"/>
        </w:rPr>
        <w:t xml:space="preserve">получил </w:t>
      </w:r>
      <w:r w:rsidRPr="0091429D">
        <w:rPr>
          <w:sz w:val="24"/>
          <w:szCs w:val="24"/>
        </w:rPr>
        <w:t xml:space="preserve"> положительное заключение №ЦЭ-0223/18 от 01.11.2018г.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Работы выполнены в полном объёме, оформлен акт приемки объекта в эксплуатацию от 27 декабря 2021 года.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 xml:space="preserve">– по наращиванию 2-й очереди золоотвала ТЭЦ-2 на сумму 591 542 тыс. тенге. Дополнительная емкость, создаваемая дамбами наращивания для складирования </w:t>
      </w:r>
      <w:proofErr w:type="spellStart"/>
      <w:r w:rsidRPr="0091429D">
        <w:rPr>
          <w:sz w:val="24"/>
          <w:szCs w:val="24"/>
        </w:rPr>
        <w:t>золошлаковых</w:t>
      </w:r>
      <w:proofErr w:type="spellEnd"/>
      <w:r w:rsidRPr="0091429D">
        <w:rPr>
          <w:sz w:val="24"/>
          <w:szCs w:val="24"/>
        </w:rPr>
        <w:t xml:space="preserve"> отходов необходима в связи с приближающимся исчерпанием действующей емкости золоотвала 2-ой очереди. Дополнительная емкость составляет 2,069 млн. м3, что обеспечит складирование </w:t>
      </w:r>
      <w:proofErr w:type="spellStart"/>
      <w:r w:rsidRPr="0091429D">
        <w:rPr>
          <w:sz w:val="24"/>
          <w:szCs w:val="24"/>
        </w:rPr>
        <w:t>золошлаков</w:t>
      </w:r>
      <w:proofErr w:type="spellEnd"/>
      <w:r w:rsidRPr="0091429D">
        <w:rPr>
          <w:sz w:val="24"/>
          <w:szCs w:val="24"/>
        </w:rPr>
        <w:t xml:space="preserve"> ТЭЦ-2 в течение 6,2 года при их годовом выходе в количестве 270,0 тыс. тонн в год.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Наращивание дамб 2-ой очереди выполнено по рабочему проекту №1363.РП.1654 «Наращивание дамб 2-ой очереди золоотвала ТЭЦ-2 АО ПАВЛОДАРЭНЕРГО». Реконструкция», разработанному АО «Институт «</w:t>
      </w:r>
      <w:proofErr w:type="spellStart"/>
      <w:r w:rsidRPr="0091429D">
        <w:rPr>
          <w:sz w:val="24"/>
          <w:szCs w:val="24"/>
        </w:rPr>
        <w:t>КазНИПИЭнергопром</w:t>
      </w:r>
      <w:proofErr w:type="spellEnd"/>
      <w:r w:rsidRPr="0091429D">
        <w:rPr>
          <w:sz w:val="24"/>
          <w:szCs w:val="24"/>
        </w:rPr>
        <w:t>», прошедшему государственную экспертизу и имеющему положительное заключение №ЦЭ-0056/20 от 04.02.2020г.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Работы выполнены в полном объёме, оформлен акт приемки объекта в эксплуатацию от 23 декабря 2021 года.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 xml:space="preserve">– Аппаратно-программный комплекс для обеспечения информационной безопасности АСУТП и ИТ систем на сумму 110 899 тыс. тенге. Мероприятие выполнено в целях исполнения Закона Республики Казахстан №94-V от 21.05.2013 г. «О персональных данных и их защите», а также Закона Республики Казахстан от 24 ноября 2015 года № 418-V «Об информатизации». Выделенные аппаратные вычислительные ресурсы, а также лицензии на предустановленное программное обеспечение, необходимые для функционирования: 1) автоматизированной системы мониторинга и аудита событий и параметров безопасности АСУ ТП и ИТ-инфраструктуры; 2) автоматизированной системы инвентаризации АСУ ТП и ИТ-активов и контроля изменений </w:t>
      </w:r>
      <w:r w:rsidRPr="0091429D">
        <w:rPr>
          <w:sz w:val="24"/>
          <w:szCs w:val="24"/>
        </w:rPr>
        <w:lastRenderedPageBreak/>
        <w:t xml:space="preserve">АСУ ТП и ИТ-инфраструктуры; 3) автоматизированной системы обеспечения </w:t>
      </w:r>
      <w:proofErr w:type="spellStart"/>
      <w:r w:rsidRPr="0091429D">
        <w:rPr>
          <w:sz w:val="24"/>
          <w:szCs w:val="24"/>
        </w:rPr>
        <w:t>кибербезопасности</w:t>
      </w:r>
      <w:proofErr w:type="spellEnd"/>
      <w:r w:rsidRPr="0091429D">
        <w:rPr>
          <w:sz w:val="24"/>
          <w:szCs w:val="24"/>
        </w:rPr>
        <w:t xml:space="preserve"> и мониторинга угроз промышленной среды (АСУ ТП); 4) автоматизированной системы предотвращения утечки персональных данных и конфиденциальной информации; 5) программного сканера анализа защищенности и поиска уязвимостей в информационных системах АСУ ТП и ИТ; 6) аппаратно-программного комплекса выявления скрытых устройств беспроводной передачи данных в сетях АСУ ТП и ИТ.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– по реконструкции системы освещения с применением энергосберегающих ламп ТЭЦ-3 на сумму 13 913 тыс. тенге. Мероприятие направлено на снижение потребления электроэнергии на собственные нужды. Экономия электроэнергии на собственные нужды составит 539 тыс. кВтч.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sz w:val="24"/>
          <w:szCs w:val="24"/>
        </w:rPr>
      </w:pPr>
      <w:r w:rsidRPr="0091429D">
        <w:rPr>
          <w:sz w:val="24"/>
          <w:szCs w:val="24"/>
        </w:rPr>
        <w:t>– по строительству дымовой трубы №2 ТЭЦ-3на сумму 194 215 тыс. тенге.</w:t>
      </w:r>
      <w:r w:rsidRPr="0091429D">
        <w:t xml:space="preserve"> </w:t>
      </w:r>
      <w:r w:rsidRPr="0091429D">
        <w:rPr>
          <w:sz w:val="24"/>
          <w:szCs w:val="24"/>
        </w:rPr>
        <w:t xml:space="preserve">Строительство дымовой трубы №2 выполняется с целью снятия ограничений по тяге существующих </w:t>
      </w:r>
      <w:proofErr w:type="spellStart"/>
      <w:r w:rsidRPr="0091429D">
        <w:rPr>
          <w:sz w:val="24"/>
          <w:szCs w:val="24"/>
        </w:rPr>
        <w:t>котлоагрегатов</w:t>
      </w:r>
      <w:proofErr w:type="spellEnd"/>
      <w:r w:rsidRPr="0091429D">
        <w:rPr>
          <w:sz w:val="24"/>
          <w:szCs w:val="24"/>
        </w:rPr>
        <w:t xml:space="preserve"> работающих на дымовую трубу №1 и возможность подключения к трубе </w:t>
      </w:r>
      <w:proofErr w:type="spellStart"/>
      <w:r w:rsidRPr="0091429D">
        <w:rPr>
          <w:sz w:val="24"/>
          <w:szCs w:val="24"/>
        </w:rPr>
        <w:t>котлоагрегатов</w:t>
      </w:r>
      <w:proofErr w:type="spellEnd"/>
      <w:r w:rsidRPr="0091429D">
        <w:rPr>
          <w:sz w:val="24"/>
          <w:szCs w:val="24"/>
        </w:rPr>
        <w:t xml:space="preserve"> ст. №5 и ст. №6, а также перспективных </w:t>
      </w:r>
      <w:proofErr w:type="spellStart"/>
      <w:r w:rsidRPr="0091429D">
        <w:rPr>
          <w:sz w:val="24"/>
          <w:szCs w:val="24"/>
        </w:rPr>
        <w:t>котлоагрегатов</w:t>
      </w:r>
      <w:proofErr w:type="spellEnd"/>
      <w:r w:rsidRPr="0091429D">
        <w:rPr>
          <w:sz w:val="24"/>
          <w:szCs w:val="24"/>
        </w:rPr>
        <w:t xml:space="preserve"> ст. №7 и ст. №8.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429D">
        <w:rPr>
          <w:color w:val="000000" w:themeColor="text1"/>
          <w:sz w:val="24"/>
          <w:szCs w:val="24"/>
        </w:rPr>
        <w:t>ТОО НПФ «СЕВКАЗЭНЕРГОПРОМ» на основании заключенного с АО «ПАВЛОДАРЭНЕРГО» договора №64/20.02 от 11.02.2020г. (Дополнительное соглашение №1 от 20.03.2020г.) на разработку рабочего проекта «Строительство дымовой трубы №2. ТЭЦ-3 АО «ПАВЛОДАРЭНЕРГО» Корректировка», прошедшему государственную экспертизу и имеющему положительное заключение №06-0295/21 от 30.09.2021г.</w:t>
      </w:r>
    </w:p>
    <w:p w:rsidR="0091429D" w:rsidRPr="0091429D" w:rsidRDefault="0091429D" w:rsidP="0091429D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91429D">
        <w:rPr>
          <w:color w:val="000000" w:themeColor="text1"/>
          <w:sz w:val="24"/>
          <w:szCs w:val="24"/>
        </w:rPr>
        <w:t>Основными направлениями инвестиционной программы АО «ПАВЛОДАРЭНЕРГО» направлениями являются:</w:t>
      </w:r>
    </w:p>
    <w:p w:rsidR="0091429D" w:rsidRPr="0091429D" w:rsidRDefault="0091429D" w:rsidP="0091429D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1429D">
        <w:rPr>
          <w:color w:val="000000" w:themeColor="text1"/>
          <w:sz w:val="24"/>
          <w:szCs w:val="24"/>
        </w:rPr>
        <w:t xml:space="preserve">повышение надежности и долговечности существующего оборудования путем проведения реконструкции; </w:t>
      </w:r>
    </w:p>
    <w:p w:rsidR="0091429D" w:rsidRPr="0091429D" w:rsidRDefault="0091429D" w:rsidP="0091429D">
      <w:pPr>
        <w:numPr>
          <w:ilvl w:val="0"/>
          <w:numId w:val="15"/>
        </w:numPr>
        <w:spacing w:line="36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1429D">
        <w:rPr>
          <w:color w:val="000000" w:themeColor="text1"/>
          <w:sz w:val="24"/>
          <w:szCs w:val="24"/>
        </w:rPr>
        <w:t>проекты, обеспечивающие совершенствование экологических параметров деятельности.</w:t>
      </w:r>
    </w:p>
    <w:p w:rsidR="0091429D" w:rsidRPr="0091429D" w:rsidRDefault="0091429D" w:rsidP="0091429D">
      <w:pPr>
        <w:ind w:left="400"/>
        <w:jc w:val="both"/>
        <w:rPr>
          <w:color w:val="000000" w:themeColor="text1"/>
          <w:sz w:val="24"/>
          <w:szCs w:val="24"/>
        </w:rPr>
      </w:pPr>
    </w:p>
    <w:p w:rsidR="0091429D" w:rsidRPr="0091429D" w:rsidRDefault="0091429D" w:rsidP="0091429D">
      <w:pPr>
        <w:ind w:left="400"/>
        <w:jc w:val="center"/>
        <w:rPr>
          <w:sz w:val="24"/>
          <w:szCs w:val="24"/>
        </w:rPr>
        <w:sectPr w:rsidR="0091429D" w:rsidRPr="0091429D" w:rsidSect="00147B8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1429D" w:rsidRPr="0091429D" w:rsidRDefault="0091429D" w:rsidP="0091429D">
      <w:pPr>
        <w:ind w:left="142" w:right="253"/>
        <w:jc w:val="center"/>
      </w:pPr>
      <w:r>
        <w:rPr>
          <w:noProof/>
        </w:rPr>
        <w:lastRenderedPageBreak/>
        <w:drawing>
          <wp:inline distT="0" distB="0" distL="0" distR="0">
            <wp:extent cx="9939655" cy="6757035"/>
            <wp:effectExtent l="0" t="0" r="4445" b="5715"/>
            <wp:docPr id="1" name="Рисунок 1" descr="Отчет об исполнении ИП за 202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об исполнении ИП за 2021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" r="1530" b="3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55" cy="675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9D" w:rsidRPr="0091429D" w:rsidRDefault="0091429D" w:rsidP="0091429D">
      <w:pPr>
        <w:ind w:left="142" w:right="253"/>
        <w:jc w:val="center"/>
        <w:sectPr w:rsidR="0091429D" w:rsidRPr="0091429D" w:rsidSect="00694CFF">
          <w:pgSz w:w="16838" w:h="11906" w:orient="landscape"/>
          <w:pgMar w:top="720" w:right="0" w:bottom="720" w:left="0" w:header="709" w:footer="709" w:gutter="0"/>
          <w:cols w:space="708"/>
          <w:docGrid w:linePitch="360"/>
        </w:sectPr>
      </w:pP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EF4585" w:rsidRDefault="00315777" w:rsidP="00EF4585">
      <w:pPr>
        <w:ind w:left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</w:t>
      </w:r>
      <w:r w:rsidR="006D31C0">
        <w:rPr>
          <w:rStyle w:val="s0"/>
          <w:sz w:val="24"/>
          <w:szCs w:val="24"/>
        </w:rPr>
        <w:t>2</w:t>
      </w:r>
      <w:r w:rsidR="00CE04C1">
        <w:rPr>
          <w:rStyle w:val="s0"/>
          <w:sz w:val="24"/>
          <w:szCs w:val="24"/>
        </w:rPr>
        <w:t>1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EF4585">
        <w:rPr>
          <w:rStyle w:val="s0"/>
          <w:sz w:val="24"/>
          <w:szCs w:val="24"/>
        </w:rPr>
        <w:t xml:space="preserve"> </w:t>
      </w:r>
    </w:p>
    <w:p w:rsidR="00ED65DE" w:rsidRPr="003F52BF" w:rsidRDefault="00EF4585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(пр</w:t>
      </w:r>
      <w:r>
        <w:rPr>
          <w:sz w:val="24"/>
          <w:szCs w:val="24"/>
        </w:rPr>
        <w:t>едварительно)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6100"/>
        <w:gridCol w:w="1420"/>
      </w:tblGrid>
      <w:tr w:rsidR="00A948A5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A5" w:rsidRPr="00A948A5" w:rsidRDefault="00A948A5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8A5" w:rsidRPr="00A948A5" w:rsidRDefault="00A948A5" w:rsidP="00A948A5">
            <w:pPr>
              <w:jc w:val="center"/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тыс. тенге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b/>
                <w:bCs/>
                <w:sz w:val="22"/>
                <w:szCs w:val="22"/>
              </w:rPr>
            </w:pPr>
            <w:r w:rsidRPr="00A948A5">
              <w:rPr>
                <w:b/>
                <w:bCs/>
                <w:sz w:val="22"/>
                <w:szCs w:val="22"/>
              </w:rPr>
              <w:t>Доход всего, в т.ч.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42 145 730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Доход от реализации э/э</w:t>
            </w:r>
            <w:r>
              <w:rPr>
                <w:sz w:val="22"/>
                <w:szCs w:val="22"/>
              </w:rPr>
              <w:t>, с учетом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34 099 302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Доход от реализации т/э</w:t>
            </w:r>
            <w:r>
              <w:rPr>
                <w:sz w:val="22"/>
                <w:szCs w:val="22"/>
              </w:rPr>
              <w:t>, с учетом побочной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8 046 408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b/>
                <w:bCs/>
                <w:sz w:val="22"/>
                <w:szCs w:val="22"/>
              </w:rPr>
            </w:pPr>
            <w:r w:rsidRPr="00A948A5">
              <w:rPr>
                <w:b/>
                <w:bCs/>
                <w:sz w:val="22"/>
                <w:szCs w:val="22"/>
              </w:rPr>
              <w:t>Себестоимость товарной продукции, в т.ч.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-30 258 217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-21 627 694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по теплоэнергии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-8 630 504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b/>
                <w:bCs/>
                <w:sz w:val="22"/>
                <w:szCs w:val="22"/>
              </w:rPr>
            </w:pPr>
            <w:r w:rsidRPr="00A948A5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-2 463 652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-1 413 633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-12 974 536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130 872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472 830</w:t>
            </w:r>
          </w:p>
        </w:tc>
      </w:tr>
      <w:tr w:rsidR="00CE04C1" w:rsidRPr="00A948A5" w:rsidTr="00A948A5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Pr="00A948A5" w:rsidRDefault="00CE04C1" w:rsidP="00A948A5">
            <w:pPr>
              <w:rPr>
                <w:sz w:val="22"/>
                <w:szCs w:val="22"/>
              </w:rPr>
            </w:pPr>
            <w:r w:rsidRPr="00A948A5"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4C1" w:rsidRDefault="00CE04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-4 360 607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</w:t>
      </w:r>
      <w:r w:rsidR="00A45EC5">
        <w:rPr>
          <w:rStyle w:val="s0"/>
          <w:sz w:val="24"/>
          <w:szCs w:val="24"/>
        </w:rPr>
        <w:t>2</w:t>
      </w:r>
      <w:r w:rsidR="00CE04C1">
        <w:rPr>
          <w:rStyle w:val="s0"/>
          <w:sz w:val="24"/>
          <w:szCs w:val="24"/>
        </w:rPr>
        <w:t>1</w:t>
      </w:r>
      <w:r w:rsidRPr="00D5098B">
        <w:rPr>
          <w:rStyle w:val="s0"/>
          <w:sz w:val="24"/>
          <w:szCs w:val="24"/>
        </w:rPr>
        <w:t xml:space="preserve"> год</w:t>
      </w:r>
    </w:p>
    <w:p w:rsidR="00CE04C1" w:rsidRDefault="00CE04C1" w:rsidP="00ED65DE">
      <w:pPr>
        <w:ind w:firstLine="567"/>
        <w:jc w:val="center"/>
        <w:rPr>
          <w:rStyle w:val="s0"/>
          <w:sz w:val="24"/>
          <w:szCs w:val="24"/>
        </w:rPr>
      </w:pPr>
    </w:p>
    <w:tbl>
      <w:tblPr>
        <w:tblW w:w="9787" w:type="dxa"/>
        <w:tblInd w:w="1094" w:type="dxa"/>
        <w:tblLayout w:type="fixed"/>
        <w:tblLook w:val="04A0" w:firstRow="1" w:lastRow="0" w:firstColumn="1" w:lastColumn="0" w:noHBand="0" w:noVBand="1"/>
      </w:tblPr>
      <w:tblGrid>
        <w:gridCol w:w="2575"/>
        <w:gridCol w:w="1117"/>
        <w:gridCol w:w="1985"/>
        <w:gridCol w:w="2126"/>
        <w:gridCol w:w="992"/>
        <w:gridCol w:w="992"/>
      </w:tblGrid>
      <w:tr w:rsidR="00052333" w:rsidRPr="00052333" w:rsidTr="00052333">
        <w:trPr>
          <w:trHeight w:val="255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Ед.изм.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 xml:space="preserve">Фактически сложившиеся показатели тарифной сметы за 2021 год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отклонение</w:t>
            </w:r>
          </w:p>
        </w:tc>
      </w:tr>
      <w:tr w:rsidR="00052333" w:rsidRPr="00052333" w:rsidTr="00052333">
        <w:trPr>
          <w:trHeight w:val="255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%</w:t>
            </w:r>
          </w:p>
        </w:tc>
      </w:tr>
      <w:tr w:rsidR="00052333" w:rsidRPr="00052333" w:rsidTr="00052333">
        <w:trPr>
          <w:trHeight w:val="51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АО "ПАВЛОДАРЭНЕРГО"</w:t>
            </w:r>
            <w:proofErr w:type="gramStart"/>
            <w:r w:rsidRPr="00052333">
              <w:rPr>
                <w:b/>
                <w:bCs/>
                <w:color w:val="auto"/>
              </w:rPr>
              <w:t xml:space="preserve"> ,</w:t>
            </w:r>
            <w:proofErr w:type="gramEnd"/>
            <w:r w:rsidRPr="00052333">
              <w:rPr>
                <w:b/>
                <w:bCs/>
                <w:color w:val="auto"/>
              </w:rPr>
              <w:t xml:space="preserve">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3 118,953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3 076,083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-42,870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b/>
                <w:bCs/>
                <w:color w:val="auto"/>
              </w:rPr>
            </w:pPr>
            <w:r w:rsidRPr="00052333">
              <w:rPr>
                <w:b/>
                <w:bCs/>
                <w:color w:val="auto"/>
              </w:rPr>
              <w:t>-1%</w:t>
            </w:r>
          </w:p>
        </w:tc>
      </w:tr>
      <w:tr w:rsidR="00052333" w:rsidRPr="00052333" w:rsidTr="00052333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rPr>
                <w:color w:val="auto"/>
              </w:rPr>
            </w:pPr>
            <w:r w:rsidRPr="00052333">
              <w:rPr>
                <w:color w:val="auto"/>
              </w:rPr>
              <w:t>Пар 16 ата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color w:val="auto"/>
              </w:rPr>
            </w:pPr>
            <w:r w:rsidRPr="00052333">
              <w:rPr>
                <w:color w:val="auto"/>
              </w:rPr>
              <w:t xml:space="preserve"> 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898,428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818,444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-79,984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-9%</w:t>
            </w:r>
          </w:p>
        </w:tc>
      </w:tr>
      <w:tr w:rsidR="00052333" w:rsidRPr="00052333" w:rsidTr="00052333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rPr>
                <w:color w:val="auto"/>
              </w:rPr>
            </w:pPr>
            <w:r w:rsidRPr="00052333">
              <w:rPr>
                <w:color w:val="auto"/>
              </w:rPr>
              <w:t>Пар 40 ата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color w:val="auto"/>
              </w:rPr>
            </w:pPr>
            <w:r w:rsidRPr="00052333">
              <w:rPr>
                <w:color w:val="auto"/>
              </w:rPr>
              <w:t xml:space="preserve"> 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205,631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173,285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-32,346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-16%</w:t>
            </w:r>
          </w:p>
        </w:tc>
      </w:tr>
      <w:tr w:rsidR="00052333" w:rsidRPr="00052333" w:rsidTr="00052333">
        <w:trPr>
          <w:trHeight w:val="255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rPr>
                <w:color w:val="auto"/>
              </w:rPr>
            </w:pPr>
            <w:r w:rsidRPr="00052333">
              <w:rPr>
                <w:color w:val="auto"/>
              </w:rPr>
              <w:t>Горячая вода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center"/>
              <w:rPr>
                <w:color w:val="auto"/>
              </w:rPr>
            </w:pPr>
            <w:r w:rsidRPr="00052333">
              <w:rPr>
                <w:color w:val="auto"/>
              </w:rPr>
              <w:t xml:space="preserve"> -//-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2 014,894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2 084,354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69,460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33" w:rsidRPr="00052333" w:rsidRDefault="00052333" w:rsidP="00052333">
            <w:pPr>
              <w:jc w:val="right"/>
              <w:rPr>
                <w:color w:val="auto"/>
              </w:rPr>
            </w:pPr>
            <w:r w:rsidRPr="00052333">
              <w:rPr>
                <w:color w:val="auto"/>
              </w:rPr>
              <w:t>3%</w:t>
            </w:r>
          </w:p>
        </w:tc>
      </w:tr>
    </w:tbl>
    <w:p w:rsidR="00CE04C1" w:rsidRDefault="00CE04C1" w:rsidP="00ED65DE">
      <w:pPr>
        <w:ind w:firstLine="567"/>
        <w:jc w:val="center"/>
        <w:rPr>
          <w:rStyle w:val="s0"/>
          <w:sz w:val="24"/>
          <w:szCs w:val="24"/>
        </w:rPr>
      </w:pPr>
    </w:p>
    <w:p w:rsidR="00052333" w:rsidRDefault="00052333" w:rsidP="00A5607F">
      <w:pPr>
        <w:ind w:firstLine="709"/>
        <w:jc w:val="both"/>
        <w:rPr>
          <w:rStyle w:val="s0"/>
          <w:sz w:val="24"/>
          <w:szCs w:val="24"/>
        </w:rPr>
      </w:pPr>
    </w:p>
    <w:p w:rsidR="00ED65DE" w:rsidRP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Ежегодно с 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В 20</w:t>
      </w:r>
      <w:r w:rsidR="00A45EC5">
        <w:rPr>
          <w:sz w:val="24"/>
          <w:szCs w:val="24"/>
        </w:rPr>
        <w:t>2</w:t>
      </w:r>
      <w:r w:rsidR="00CE04C1">
        <w:rPr>
          <w:sz w:val="24"/>
          <w:szCs w:val="24"/>
        </w:rPr>
        <w:t>1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674D78" w:rsidRDefault="00674D78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674D78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ED65DE" w:rsidRDefault="00ED65DE" w:rsidP="005E362D">
      <w:pPr>
        <w:pStyle w:val="a3"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914F66" w:rsidRPr="00ED65DE" w:rsidRDefault="00914F66" w:rsidP="005E362D">
      <w:pPr>
        <w:pStyle w:val="a3"/>
        <w:ind w:left="1288"/>
        <w:jc w:val="both"/>
        <w:rPr>
          <w:b/>
          <w:sz w:val="24"/>
          <w:szCs w:val="24"/>
        </w:rPr>
      </w:pPr>
    </w:p>
    <w:tbl>
      <w:tblPr>
        <w:tblW w:w="1078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22"/>
        <w:gridCol w:w="3966"/>
        <w:gridCol w:w="992"/>
        <w:gridCol w:w="2127"/>
        <w:gridCol w:w="1842"/>
        <w:gridCol w:w="142"/>
        <w:gridCol w:w="992"/>
      </w:tblGrid>
      <w:tr w:rsidR="006A7113" w:rsidRPr="006A7113" w:rsidTr="00674D78">
        <w:trPr>
          <w:trHeight w:val="315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13" w:rsidRPr="006A7113" w:rsidRDefault="006A7113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7113" w:rsidRPr="006A7113" w:rsidRDefault="006A7113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13" w:rsidRPr="006A7113" w:rsidRDefault="006A7113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7113" w:rsidRPr="006A7113" w:rsidRDefault="006A7113" w:rsidP="00674D78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Тарифная смета АО "ПАВЛОДАРЭНЕРГО"</w:t>
            </w:r>
          </w:p>
        </w:tc>
      </w:tr>
      <w:tr w:rsidR="006A7113" w:rsidRPr="006A7113" w:rsidTr="00674D78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13" w:rsidRPr="006A7113" w:rsidRDefault="006A7113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113" w:rsidRPr="006A7113" w:rsidRDefault="006A7113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Фактически сложившиеся показатели тарифной сметы за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113" w:rsidRPr="006A7113" w:rsidRDefault="00674D78" w:rsidP="00674D78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Откл.</w:t>
            </w:r>
          </w:p>
        </w:tc>
      </w:tr>
      <w:tr w:rsidR="006A7113" w:rsidRPr="006A7113" w:rsidTr="00674D78">
        <w:trPr>
          <w:trHeight w:val="681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A7113" w:rsidRPr="006A7113" w:rsidRDefault="006A7113" w:rsidP="006A7113">
            <w:pPr>
              <w:rPr>
                <w:b/>
                <w:bCs/>
                <w:color w:val="auto"/>
              </w:rPr>
            </w:pPr>
          </w:p>
        </w:tc>
      </w:tr>
      <w:tr w:rsidR="006A7113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113" w:rsidRPr="006A7113" w:rsidRDefault="006A7113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6</w:t>
            </w:r>
          </w:p>
        </w:tc>
      </w:tr>
      <w:tr w:rsidR="000B1F78" w:rsidRPr="006A7113" w:rsidTr="00674D78">
        <w:trPr>
          <w:trHeight w:val="51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7 696 101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8 421 763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3 729 461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3 977 724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384 958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1.1.1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хим.реагенты и реактивы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140 999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192 099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36,2%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110 898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143 340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29,3%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133 061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F78" w:rsidRPr="0032552B" w:rsidRDefault="000B1F78">
            <w:pPr>
              <w:jc w:val="right"/>
              <w:rPr>
                <w:bCs/>
              </w:rPr>
            </w:pPr>
            <w:r w:rsidRPr="0032552B">
              <w:rPr>
                <w:bCs/>
              </w:rPr>
              <w:t>160 019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20,3%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1.2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3 301 338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3 423 134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уголь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3 163 568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3 291 233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4,0%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мазут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137 770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131 901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-4,3%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1.3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1.4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 Энергия, в т.ч.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13 905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45,9%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1.4.1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8 308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12 001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44,4%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1.4.2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теп</w:t>
            </w:r>
            <w:proofErr w:type="gramStart"/>
            <w:r w:rsidRPr="006A7113">
              <w:rPr>
                <w:color w:val="auto"/>
              </w:rPr>
              <w:t>.</w:t>
            </w:r>
            <w:proofErr w:type="gramEnd"/>
            <w:r w:rsidRPr="006A7113">
              <w:rPr>
                <w:color w:val="auto"/>
              </w:rPr>
              <w:t xml:space="preserve"> </w:t>
            </w:r>
            <w:proofErr w:type="gramStart"/>
            <w:r w:rsidRPr="006A7113">
              <w:rPr>
                <w:color w:val="auto"/>
              </w:rPr>
              <w:t>э</w:t>
            </w:r>
            <w:proofErr w:type="gramEnd"/>
            <w:r w:rsidRPr="006A7113">
              <w:rPr>
                <w:color w:val="auto"/>
              </w:rPr>
              <w:t>нергия  на хоз. нужды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5 597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8 291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48,1%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733 836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1 119 055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52,5%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654 683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999 479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52,7%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социальный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55 879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83 972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50,3%</w:t>
            </w:r>
          </w:p>
        </w:tc>
      </w:tr>
      <w:tr w:rsidR="000B1F78" w:rsidRPr="006A7113" w:rsidTr="00CD4CB4">
        <w:trPr>
          <w:trHeight w:val="3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052333">
            <w:pPr>
              <w:jc w:val="center"/>
            </w:pPr>
            <w:r w:rsidRPr="006A7113">
              <w:t>2.3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052333">
            <w:r>
              <w:t xml:space="preserve">  </w:t>
            </w:r>
            <w:r w:rsidRPr="006A7113">
              <w:t xml:space="preserve">обязательное </w:t>
            </w:r>
            <w:proofErr w:type="spellStart"/>
            <w:r w:rsidRPr="006A7113">
              <w:t>соц.мед</w:t>
            </w:r>
            <w:proofErr w:type="spellEnd"/>
            <w:r w:rsidRPr="006A7113">
              <w:t>. страхование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5233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13 134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18 494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40,8%</w:t>
            </w:r>
          </w:p>
        </w:tc>
      </w:tr>
      <w:tr w:rsidR="000B1F78" w:rsidRPr="006A7113" w:rsidTr="00CD4CB4">
        <w:trPr>
          <w:trHeight w:val="34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5233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052333">
            <w:r>
              <w:t xml:space="preserve">  </w:t>
            </w:r>
            <w:r w:rsidRPr="006A7113">
              <w:t>обязательные профессиональные пенсионные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5233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>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10 140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17 111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68,8%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965 835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1 072 840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11,1%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1 659 344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1 617 017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-2,6%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277 115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F78" w:rsidRPr="006A7113" w:rsidRDefault="000B1F78" w:rsidP="000826AE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185 541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188 156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расходы на тех. </w:t>
            </w:r>
            <w:proofErr w:type="spellStart"/>
            <w:r w:rsidRPr="006A7113">
              <w:rPr>
                <w:color w:val="auto"/>
              </w:rPr>
              <w:t>хар-ки</w:t>
            </w:r>
            <w:proofErr w:type="spellEnd"/>
            <w:r w:rsidRPr="006A7113">
              <w:rPr>
                <w:color w:val="auto"/>
              </w:rPr>
              <w:t xml:space="preserve">/исследование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32 744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34 229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4,5%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F78" w:rsidRPr="006A7113" w:rsidRDefault="000B1F78" w:rsidP="000826AE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охрана 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0826AE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25 499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28 720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12,6%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26 528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35 845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35,1%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утилизация </w:t>
            </w:r>
            <w:proofErr w:type="spellStart"/>
            <w:r w:rsidRPr="006A7113">
              <w:rPr>
                <w:color w:val="auto"/>
              </w:rPr>
              <w:t>промотходов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6 803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-0,5%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228 051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227 079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-0,4%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102 459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</w:t>
            </w:r>
            <w:proofErr w:type="spellStart"/>
            <w:r w:rsidRPr="006A7113">
              <w:rPr>
                <w:color w:val="auto"/>
              </w:rPr>
              <w:t>канцелярские</w:t>
            </w:r>
            <w:proofErr w:type="gramStart"/>
            <w:r w:rsidRPr="006A7113">
              <w:rPr>
                <w:color w:val="auto"/>
              </w:rPr>
              <w:t>,т</w:t>
            </w:r>
            <w:proofErr w:type="gramEnd"/>
            <w:r w:rsidRPr="006A7113">
              <w:rPr>
                <w:color w:val="auto"/>
              </w:rPr>
              <w:t>ипографские</w:t>
            </w:r>
            <w:proofErr w:type="spellEnd"/>
            <w:r w:rsidRPr="006A7113">
              <w:rPr>
                <w:color w:val="auto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1 795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1 778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-1,0%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затраты по ТБ и ОТ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19 280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-3,9%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</w:t>
            </w:r>
            <w:proofErr w:type="spellStart"/>
            <w:r w:rsidRPr="006A7113">
              <w:rPr>
                <w:color w:val="auto"/>
              </w:rPr>
              <w:t>связь</w:t>
            </w:r>
            <w:proofErr w:type="gramStart"/>
            <w:r w:rsidRPr="006A7113">
              <w:rPr>
                <w:color w:val="auto"/>
              </w:rPr>
              <w:t>,р</w:t>
            </w:r>
            <w:proofErr w:type="gramEnd"/>
            <w:r w:rsidRPr="006A7113">
              <w:rPr>
                <w:color w:val="auto"/>
              </w:rPr>
              <w:t>адио,телефон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6522,4%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11 004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12 969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17,9%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спец. молоко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4 576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4,6%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плата за пользование </w:t>
            </w:r>
            <w:proofErr w:type="spellStart"/>
            <w:r w:rsidRPr="006A7113">
              <w:rPr>
                <w:color w:val="auto"/>
              </w:rPr>
              <w:t>зем.участками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38 193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39 984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4,7%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хоз. вода, стоки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17 055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16 496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-3,3%</w:t>
            </w:r>
          </w:p>
        </w:tc>
      </w:tr>
      <w:tr w:rsidR="00674D78" w:rsidRPr="006A7113" w:rsidTr="00674D78">
        <w:trPr>
          <w:trHeight w:val="315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lastRenderedPageBreak/>
              <w:t>№ п/п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D78" w:rsidRPr="006A7113" w:rsidRDefault="00674D78" w:rsidP="00674D78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Тарифная смета АО "ПАВЛОДАРЭНЕРГО"</w:t>
            </w:r>
          </w:p>
        </w:tc>
      </w:tr>
      <w:tr w:rsidR="00674D78" w:rsidRPr="006A7113" w:rsidTr="000B1F78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Фактически сложившиеся показатели тарифной сметы за 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674D78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Откл</w:t>
            </w:r>
            <w:r>
              <w:rPr>
                <w:b/>
                <w:bCs/>
                <w:color w:val="auto"/>
              </w:rPr>
              <w:t>.</w:t>
            </w:r>
          </w:p>
        </w:tc>
      </w:tr>
      <w:tr w:rsidR="00674D78" w:rsidRPr="006A7113" w:rsidTr="000B1F78">
        <w:trPr>
          <w:trHeight w:val="8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</w:tr>
      <w:tr w:rsidR="00674D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6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7.8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 подпитка теплосети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26,2%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7.9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 прочие 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A7113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10 260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18 509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80,4%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268 355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510 043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90,1%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27D68" w:rsidRPr="006A7113" w:rsidRDefault="00C27D6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266 435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505 775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89,8%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79 000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177 194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124,3%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социальный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6 784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21 162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211,9%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обязательное </w:t>
            </w:r>
            <w:proofErr w:type="spellStart"/>
            <w:r w:rsidRPr="006A7113">
              <w:rPr>
                <w:color w:val="auto"/>
              </w:rPr>
              <w:t>соц.мед</w:t>
            </w:r>
            <w:proofErr w:type="spellEnd"/>
            <w:r w:rsidRPr="006A7113">
              <w:rPr>
                <w:color w:val="auto"/>
              </w:rPr>
              <w:t>. страхование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3 542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121,4%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амортизация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21 948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48 051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118,9%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74 777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85 051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13,7%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1 589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5 592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251,9%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12 071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17 986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49,0%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услуги связи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5 641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403,2%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7D68" w:rsidRPr="006A7113" w:rsidRDefault="00C27D6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9 616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13 613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D68" w:rsidRPr="00C27D68" w:rsidRDefault="00C27D68" w:rsidP="0063324E">
            <w:pPr>
              <w:jc w:val="right"/>
            </w:pPr>
            <w:r w:rsidRPr="00C27D68">
              <w:t>41,6%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услуги банка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Pr="00C27D68" w:rsidRDefault="000B1F78">
            <w:pPr>
              <w:jc w:val="right"/>
            </w:pPr>
            <w:r w:rsidRPr="00C27D68">
              <w:t>4 094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Pr="00C27D68" w:rsidRDefault="000B1F78">
            <w:pPr>
              <w:jc w:val="right"/>
            </w:pPr>
            <w:r w:rsidRPr="00C27D68">
              <w:t>11 708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186,0%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Pr="00C27D68" w:rsidRDefault="000B1F78">
            <w:pPr>
              <w:jc w:val="right"/>
            </w:pPr>
            <w:r w:rsidRPr="00C27D68">
              <w:t>7 351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Pr="00C27D68" w:rsidRDefault="000B1F78">
            <w:pPr>
              <w:jc w:val="right"/>
            </w:pPr>
            <w:r w:rsidRPr="00C27D68">
              <w:t>13 829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88,1%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8.12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102 405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120,3%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8.12</w:t>
            </w:r>
            <w:r>
              <w:rPr>
                <w:color w:val="auto"/>
              </w:rPr>
              <w:t>.1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услуги легкового транспорта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6 785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33 206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389,4%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3 386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267,0%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спец. молоко, ОТ </w:t>
            </w:r>
            <w:proofErr w:type="spellStart"/>
            <w:r w:rsidRPr="006A7113">
              <w:rPr>
                <w:color w:val="auto"/>
              </w:rPr>
              <w:t>иТБ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1 158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1 208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4,4%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охрана 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3 526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4 087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15,9%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сопровождение </w:t>
            </w:r>
            <w:proofErr w:type="spellStart"/>
            <w:r w:rsidRPr="006A7113">
              <w:rPr>
                <w:color w:val="auto"/>
              </w:rPr>
              <w:t>програмного</w:t>
            </w:r>
            <w:proofErr w:type="spellEnd"/>
            <w:r w:rsidRPr="006A7113">
              <w:rPr>
                <w:color w:val="auto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25 711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30 026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16,8%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материалы, услуги на эксплуатацию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5 950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21 122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255,0%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8.12.7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rPr>
                <w:color w:val="auto"/>
              </w:rPr>
            </w:pPr>
            <w:r w:rsidRPr="006A7113">
              <w:rPr>
                <w:color w:val="auto"/>
              </w:rPr>
              <w:t xml:space="preserve"> - аренда плата, </w:t>
            </w:r>
            <w:proofErr w:type="spellStart"/>
            <w:r w:rsidRPr="006A7113">
              <w:rPr>
                <w:color w:val="auto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color w:val="auto"/>
                <w:sz w:val="18"/>
                <w:szCs w:val="18"/>
              </w:rPr>
            </w:pPr>
            <w:r w:rsidRPr="006A7113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996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1 653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</w:pPr>
            <w:r>
              <w:t>66,0%</w:t>
            </w:r>
          </w:p>
        </w:tc>
      </w:tr>
      <w:tr w:rsidR="000B1F78" w:rsidRPr="00D56C2A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D56C2A" w:rsidRDefault="000B1F78" w:rsidP="00D56C2A">
            <w:pPr>
              <w:jc w:val="center"/>
              <w:rPr>
                <w:bCs/>
                <w:color w:val="auto"/>
              </w:rPr>
            </w:pPr>
            <w:r w:rsidRPr="00D56C2A">
              <w:rPr>
                <w:bCs/>
                <w:color w:val="auto"/>
              </w:rPr>
              <w:t>8.1</w:t>
            </w:r>
            <w:r>
              <w:rPr>
                <w:bCs/>
                <w:color w:val="auto"/>
              </w:rPr>
              <w:t>2</w:t>
            </w:r>
            <w:r w:rsidRPr="00D56C2A">
              <w:rPr>
                <w:bCs/>
                <w:color w:val="auto"/>
              </w:rPr>
              <w:t>.8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F78" w:rsidRPr="00D56C2A" w:rsidRDefault="000B1F78" w:rsidP="00504D79">
            <w:pPr>
              <w:rPr>
                <w:bCs/>
                <w:color w:val="auto"/>
              </w:rPr>
            </w:pPr>
            <w:r w:rsidRPr="00D56C2A">
              <w:rPr>
                <w:bCs/>
                <w:color w:val="auto"/>
              </w:rPr>
              <w:t xml:space="preserve"> - прочие расходы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F78" w:rsidRPr="00D56C2A" w:rsidRDefault="000B1F78" w:rsidP="00504D79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D56C2A">
              <w:rPr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7 717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437,8%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Pr="006A7113" w:rsidRDefault="000B1F7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4 267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122,2%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C27D68" w:rsidRPr="006A7113" w:rsidRDefault="00C27D6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7 964 456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8 931 806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12,1%</w:t>
            </w:r>
          </w:p>
        </w:tc>
      </w:tr>
      <w:tr w:rsidR="00C27D6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C27D68" w:rsidRPr="006A7113" w:rsidRDefault="00C27D68" w:rsidP="00504D79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27D68" w:rsidRPr="006A7113" w:rsidRDefault="00C27D68" w:rsidP="00504D7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132 567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-1 850 850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27D68" w:rsidRPr="00C27D68" w:rsidRDefault="00C27D68" w:rsidP="0063324E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-1496,2%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A7113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IV.I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прибыль по тарифной смете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A7113">
              <w:rPr>
                <w:b/>
                <w:bCs/>
                <w:color w:val="auto"/>
                <w:sz w:val="16"/>
                <w:szCs w:val="16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Pr="00C27D68" w:rsidRDefault="00C27D68">
            <w:pPr>
              <w:jc w:val="right"/>
              <w:rPr>
                <w:b/>
                <w:bCs/>
              </w:rPr>
            </w:pPr>
            <w:r w:rsidRPr="00C27D68">
              <w:rPr>
                <w:b/>
                <w:bCs/>
              </w:rPr>
              <w:t>-1 052 623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IV.II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необоснованно полученный доход за 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A7113">
              <w:rPr>
                <w:b/>
                <w:bCs/>
                <w:color w:val="auto"/>
                <w:sz w:val="16"/>
                <w:szCs w:val="16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-381 523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406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IV.III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Возмещение дополнительно полученного дохода в 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A7113">
              <w:rPr>
                <w:b/>
                <w:bCs/>
                <w:color w:val="auto"/>
                <w:sz w:val="16"/>
                <w:szCs w:val="16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-287 056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411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IV.IV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Возмещение дополнительно полученного дохода в 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A7113">
              <w:rPr>
                <w:b/>
                <w:bCs/>
                <w:color w:val="auto"/>
                <w:sz w:val="16"/>
                <w:szCs w:val="16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-129 648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43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IV.VI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Регулируемая база задействованных активов (РБА)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6A7113">
              <w:rPr>
                <w:b/>
                <w:bCs/>
                <w:color w:val="auto"/>
                <w:sz w:val="16"/>
                <w:szCs w:val="16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77 314 291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77 314 291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0,0%</w:t>
            </w:r>
          </w:p>
        </w:tc>
      </w:tr>
      <w:tr w:rsidR="000B1F78" w:rsidRPr="006A7113" w:rsidTr="000B1F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V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8 097 023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7 080 955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-12,5%</w:t>
            </w:r>
          </w:p>
        </w:tc>
      </w:tr>
      <w:tr w:rsidR="000B1F78" w:rsidRPr="006A7113" w:rsidTr="000B1F78">
        <w:trPr>
          <w:trHeight w:val="3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VI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</w:rPr>
            </w:pPr>
            <w:r w:rsidRPr="006A7113">
              <w:rPr>
                <w:b/>
                <w:bCs/>
              </w:rPr>
              <w:t>Необоснованно полученный доход за 2019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381 523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0B1F78">
        <w:trPr>
          <w:trHeight w:val="35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VII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Возмещение дополнительно полученного дохода в 2020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287 056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74D78" w:rsidRPr="006A7113" w:rsidTr="00147B80">
        <w:trPr>
          <w:trHeight w:val="315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lastRenderedPageBreak/>
              <w:t>№ п/п</w:t>
            </w:r>
          </w:p>
        </w:tc>
        <w:tc>
          <w:tcPr>
            <w:tcW w:w="39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Тарифная смета АО "ПАВЛОДАРЭНЕРГО"</w:t>
            </w:r>
          </w:p>
        </w:tc>
      </w:tr>
      <w:tr w:rsidR="00674D78" w:rsidRPr="006A7113" w:rsidTr="00674D78">
        <w:trPr>
          <w:trHeight w:val="3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Предусмотрено в утвержденной тарифной смете на 2021 год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147B80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Фактически сложившиеся показатели тарифной сметы за 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D78" w:rsidRPr="006A7113" w:rsidRDefault="00674D78" w:rsidP="00674D78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Откл</w:t>
            </w:r>
            <w:r>
              <w:rPr>
                <w:b/>
                <w:bCs/>
                <w:color w:val="auto"/>
              </w:rPr>
              <w:t>.</w:t>
            </w:r>
          </w:p>
        </w:tc>
      </w:tr>
      <w:tr w:rsidR="00674D78" w:rsidRPr="006A7113" w:rsidTr="00674D78">
        <w:trPr>
          <w:trHeight w:val="800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4D78" w:rsidRPr="006A7113" w:rsidRDefault="00674D78" w:rsidP="00147B80">
            <w:pPr>
              <w:rPr>
                <w:b/>
                <w:bCs/>
                <w:color w:val="auto"/>
              </w:rPr>
            </w:pPr>
          </w:p>
        </w:tc>
      </w:tr>
      <w:tr w:rsidR="00674D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78" w:rsidRPr="006A7113" w:rsidRDefault="00674D78" w:rsidP="00147B80">
            <w:pPr>
              <w:jc w:val="center"/>
              <w:rPr>
                <w:color w:val="auto"/>
              </w:rPr>
            </w:pPr>
            <w:r w:rsidRPr="006A7113">
              <w:rPr>
                <w:color w:val="auto"/>
              </w:rPr>
              <w:t>6</w:t>
            </w:r>
          </w:p>
        </w:tc>
      </w:tr>
      <w:tr w:rsidR="000B1F78" w:rsidRPr="006A7113" w:rsidTr="00674D78">
        <w:trPr>
          <w:trHeight w:val="38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</w:rPr>
            </w:pPr>
            <w:r w:rsidRPr="006A7113">
              <w:rPr>
                <w:b/>
                <w:bCs/>
              </w:rPr>
              <w:t>VIII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Возмещение дополнительно полученного дохода в 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129 648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IX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Всего доходов за вычетом НД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7 298 796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7 080 955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-3,0%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X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тыс.Гкал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3 118,953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3 076,083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-1,4%</w:t>
            </w:r>
          </w:p>
        </w:tc>
      </w:tr>
      <w:tr w:rsidR="000B1F78" w:rsidRPr="006A7113" w:rsidTr="00674D78">
        <w:trPr>
          <w:trHeight w:val="300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6A7113">
              <w:rPr>
                <w:b/>
                <w:bCs/>
                <w:color w:val="auto"/>
                <w:sz w:val="18"/>
                <w:szCs w:val="18"/>
              </w:rPr>
              <w:t>тыс.тнг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7 298 796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7 080 955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-3,0%</w:t>
            </w:r>
          </w:p>
        </w:tc>
      </w:tr>
      <w:tr w:rsidR="000B1F78" w:rsidRPr="006A7113" w:rsidTr="00674D78">
        <w:trPr>
          <w:trHeight w:val="3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>XI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0B1F78" w:rsidRPr="006A7113" w:rsidRDefault="000B1F78" w:rsidP="006A7113">
            <w:pPr>
              <w:rPr>
                <w:b/>
                <w:bCs/>
                <w:color w:val="auto"/>
              </w:rPr>
            </w:pPr>
            <w:r w:rsidRPr="006A7113">
              <w:rPr>
                <w:b/>
                <w:bCs/>
                <w:color w:val="auto"/>
              </w:rPr>
              <w:t xml:space="preserve">Тариф  </w:t>
            </w:r>
            <w:r w:rsidRPr="006A7113">
              <w:rPr>
                <w:color w:val="auto"/>
              </w:rPr>
              <w:t>(без НДС)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B1F78" w:rsidRPr="006A7113" w:rsidRDefault="000B1F78" w:rsidP="006A7113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6A7113">
              <w:rPr>
                <w:b/>
                <w:bCs/>
                <w:color w:val="auto"/>
                <w:sz w:val="18"/>
                <w:szCs w:val="18"/>
              </w:rPr>
              <w:t>тенге/Гкал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2 340,14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2 301,94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B1F78" w:rsidRDefault="000B1F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-1,6%</w:t>
            </w:r>
          </w:p>
        </w:tc>
      </w:tr>
    </w:tbl>
    <w:p w:rsidR="006A7113" w:rsidRDefault="006A7113">
      <w:pPr>
        <w:spacing w:after="200" w:line="276" w:lineRule="auto"/>
        <w:rPr>
          <w:b/>
          <w:sz w:val="24"/>
          <w:szCs w:val="24"/>
        </w:rPr>
        <w:sectPr w:rsidR="006A7113" w:rsidSect="00674D78">
          <w:type w:val="continuous"/>
          <w:pgSz w:w="11906" w:h="16838" w:code="9"/>
          <w:pgMar w:top="1134" w:right="1134" w:bottom="1134" w:left="567" w:header="709" w:footer="709" w:gutter="0"/>
          <w:cols w:space="708"/>
          <w:docGrid w:linePitch="360"/>
        </w:sectPr>
      </w:pPr>
    </w:p>
    <w:p w:rsidR="00E325B2" w:rsidRDefault="00237671" w:rsidP="00957C91">
      <w:pPr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>Исполнение тарифной сметы по производству тепловой энергии</w:t>
      </w:r>
    </w:p>
    <w:p w:rsidR="00237671" w:rsidRDefault="005524DA" w:rsidP="00957C91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>АО «ПАВЛОДАРЭНЕРГО» за 20</w:t>
      </w:r>
      <w:r w:rsidR="00D73BEF">
        <w:rPr>
          <w:b/>
          <w:sz w:val="24"/>
          <w:szCs w:val="24"/>
        </w:rPr>
        <w:t>2</w:t>
      </w:r>
      <w:r w:rsidR="000826AE">
        <w:rPr>
          <w:b/>
          <w:sz w:val="24"/>
          <w:szCs w:val="24"/>
        </w:rPr>
        <w:t>1</w:t>
      </w:r>
      <w:r w:rsidR="00237671" w:rsidRPr="00237671">
        <w:rPr>
          <w:b/>
          <w:sz w:val="24"/>
          <w:szCs w:val="24"/>
        </w:rPr>
        <w:t xml:space="preserve"> г.</w:t>
      </w:r>
    </w:p>
    <w:p w:rsidR="009406D9" w:rsidRPr="00237671" w:rsidRDefault="009406D9" w:rsidP="00957C91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</w:t>
      </w:r>
      <w:r w:rsidR="00147B80">
        <w:rPr>
          <w:sz w:val="24"/>
          <w:szCs w:val="24"/>
        </w:rPr>
        <w:t>с учетом возмещения</w:t>
      </w:r>
      <w:r w:rsidR="000826AE">
        <w:rPr>
          <w:sz w:val="24"/>
          <w:szCs w:val="24"/>
        </w:rPr>
        <w:t xml:space="preserve"> необоснованно полученного дохода</w:t>
      </w:r>
      <w:r w:rsidR="009406D9">
        <w:rPr>
          <w:sz w:val="24"/>
          <w:szCs w:val="24"/>
        </w:rPr>
        <w:t xml:space="preserve"> за 2019 и дополнительно полученного дохода за 2020-2021гг.</w:t>
      </w:r>
      <w:r w:rsidR="000826AE">
        <w:rPr>
          <w:sz w:val="24"/>
          <w:szCs w:val="24"/>
        </w:rPr>
        <w:t xml:space="preserve"> </w:t>
      </w:r>
      <w:r w:rsidR="001047AF">
        <w:rPr>
          <w:sz w:val="24"/>
          <w:szCs w:val="24"/>
        </w:rPr>
        <w:t xml:space="preserve">по факту </w:t>
      </w:r>
      <w:r w:rsidRPr="00237671">
        <w:rPr>
          <w:sz w:val="24"/>
          <w:szCs w:val="24"/>
        </w:rPr>
        <w:t xml:space="preserve">составили </w:t>
      </w:r>
      <w:r w:rsidR="000826AE">
        <w:rPr>
          <w:sz w:val="24"/>
          <w:szCs w:val="24"/>
        </w:rPr>
        <w:t>7 080 955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0826AE">
        <w:rPr>
          <w:sz w:val="24"/>
          <w:szCs w:val="24"/>
        </w:rPr>
        <w:t>7 298 796</w:t>
      </w:r>
      <w:r w:rsidRPr="00237671">
        <w:rPr>
          <w:sz w:val="24"/>
          <w:szCs w:val="24"/>
        </w:rPr>
        <w:t xml:space="preserve"> тыс. тенге.</w:t>
      </w:r>
    </w:p>
    <w:p w:rsidR="00147B80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теплоэнергии </w:t>
      </w:r>
      <w:r w:rsidR="001047AF">
        <w:rPr>
          <w:sz w:val="24"/>
          <w:szCs w:val="24"/>
        </w:rPr>
        <w:t>по факту составили</w:t>
      </w:r>
      <w:r w:rsidRPr="00237671">
        <w:rPr>
          <w:sz w:val="24"/>
          <w:szCs w:val="24"/>
        </w:rPr>
        <w:t xml:space="preserve"> </w:t>
      </w:r>
      <w:r w:rsidR="00ED3AA6">
        <w:rPr>
          <w:sz w:val="24"/>
          <w:szCs w:val="24"/>
        </w:rPr>
        <w:t>8 421 763</w:t>
      </w:r>
      <w:r w:rsidRPr="00237671">
        <w:rPr>
          <w:sz w:val="24"/>
          <w:szCs w:val="24"/>
        </w:rPr>
        <w:t xml:space="preserve"> тыс. тенге. План в тарифной смете</w:t>
      </w:r>
      <w:r w:rsidR="001047AF" w:rsidRPr="001047AF">
        <w:rPr>
          <w:sz w:val="24"/>
          <w:szCs w:val="24"/>
        </w:rPr>
        <w:t xml:space="preserve"> </w:t>
      </w:r>
      <w:r w:rsidR="001047AF">
        <w:rPr>
          <w:sz w:val="24"/>
          <w:szCs w:val="24"/>
        </w:rPr>
        <w:t xml:space="preserve">по расходам на производство </w:t>
      </w:r>
      <w:r w:rsidR="00ED3AA6">
        <w:rPr>
          <w:sz w:val="24"/>
          <w:szCs w:val="24"/>
        </w:rPr>
        <w:t>7 696 101</w:t>
      </w:r>
      <w:r w:rsidRPr="00237671">
        <w:rPr>
          <w:sz w:val="24"/>
          <w:szCs w:val="24"/>
        </w:rPr>
        <w:t xml:space="preserve"> тыс. тенге. Сложил</w:t>
      </w:r>
      <w:r>
        <w:rPr>
          <w:sz w:val="24"/>
          <w:szCs w:val="24"/>
        </w:rPr>
        <w:t>ся перерасход</w:t>
      </w:r>
      <w:r w:rsidRPr="00237671">
        <w:rPr>
          <w:sz w:val="24"/>
          <w:szCs w:val="24"/>
        </w:rPr>
        <w:t xml:space="preserve"> </w:t>
      </w:r>
      <w:r w:rsidR="00ED3AA6">
        <w:rPr>
          <w:sz w:val="24"/>
          <w:szCs w:val="24"/>
        </w:rPr>
        <w:t xml:space="preserve">725 662 </w:t>
      </w:r>
      <w:r w:rsidRPr="00237671">
        <w:rPr>
          <w:sz w:val="24"/>
          <w:szCs w:val="24"/>
        </w:rPr>
        <w:t>тыс. тенге (</w:t>
      </w:r>
      <w:r w:rsidR="00ED3AA6">
        <w:rPr>
          <w:sz w:val="24"/>
          <w:szCs w:val="24"/>
        </w:rPr>
        <w:t>9,4</w:t>
      </w:r>
      <w:r w:rsidRPr="00237671">
        <w:rPr>
          <w:sz w:val="24"/>
          <w:szCs w:val="24"/>
        </w:rPr>
        <w:t>%).</w:t>
      </w:r>
      <w:r w:rsidR="00CF1531">
        <w:rPr>
          <w:sz w:val="24"/>
          <w:szCs w:val="24"/>
        </w:rPr>
        <w:t xml:space="preserve"> Одной из причин перерасхода по статьям затрат является увеличение фактического процента распределения затрат на производство тепловой энергии (34,97%) по сравнению с плановым (33,20%).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>Основные статьи затрат: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ED3AA6">
        <w:rPr>
          <w:sz w:val="24"/>
          <w:szCs w:val="24"/>
        </w:rPr>
        <w:t>121 796</w:t>
      </w:r>
      <w:r w:rsidR="001047AF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 xml:space="preserve">тыс. тенге. </w:t>
      </w:r>
      <w:r w:rsidR="00CF1531">
        <w:rPr>
          <w:sz w:val="24"/>
          <w:szCs w:val="24"/>
        </w:rPr>
        <w:t>Причинами</w:t>
      </w:r>
      <w:r w:rsidRPr="00237671">
        <w:rPr>
          <w:sz w:val="24"/>
          <w:szCs w:val="24"/>
        </w:rPr>
        <w:t xml:space="preserve"> </w:t>
      </w:r>
      <w:r w:rsidRPr="00233CA1">
        <w:rPr>
          <w:sz w:val="24"/>
          <w:szCs w:val="24"/>
        </w:rPr>
        <w:t>явля</w:t>
      </w:r>
      <w:r w:rsidR="00CF1531">
        <w:rPr>
          <w:sz w:val="24"/>
          <w:szCs w:val="24"/>
        </w:rPr>
        <w:t>ю</w:t>
      </w:r>
      <w:r w:rsidRPr="00233CA1">
        <w:rPr>
          <w:sz w:val="24"/>
          <w:szCs w:val="24"/>
        </w:rPr>
        <w:t xml:space="preserve">тся </w:t>
      </w:r>
      <w:r w:rsidR="00386016">
        <w:rPr>
          <w:sz w:val="24"/>
          <w:szCs w:val="24"/>
        </w:rPr>
        <w:t>увеличение количества топлива</w:t>
      </w:r>
      <w:r w:rsidR="00CF1531">
        <w:rPr>
          <w:sz w:val="24"/>
          <w:szCs w:val="24"/>
        </w:rPr>
        <w:t>, рост процента распределения и цены на уголь.</w:t>
      </w:r>
      <w:r w:rsidRPr="00237671">
        <w:rPr>
          <w:sz w:val="24"/>
          <w:szCs w:val="24"/>
        </w:rPr>
        <w:t xml:space="preserve"> </w:t>
      </w:r>
    </w:p>
    <w:p w:rsidR="00BC4726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7B307E">
        <w:rPr>
          <w:b/>
          <w:sz w:val="24"/>
          <w:szCs w:val="24"/>
        </w:rPr>
        <w:t>Статья</w:t>
      </w:r>
      <w:r w:rsidRPr="0023767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«Хим.реагенты». </w:t>
      </w:r>
      <w:r w:rsidRPr="0008680B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 на</w:t>
      </w:r>
      <w:r w:rsidRPr="0008680B">
        <w:rPr>
          <w:sz w:val="24"/>
          <w:szCs w:val="24"/>
        </w:rPr>
        <w:t xml:space="preserve"> сумм</w:t>
      </w:r>
      <w:r>
        <w:rPr>
          <w:sz w:val="24"/>
          <w:szCs w:val="24"/>
        </w:rPr>
        <w:t>у</w:t>
      </w:r>
      <w:r w:rsidRPr="0008680B">
        <w:rPr>
          <w:sz w:val="24"/>
          <w:szCs w:val="24"/>
        </w:rPr>
        <w:t xml:space="preserve"> </w:t>
      </w:r>
      <w:r w:rsidR="00970ED3">
        <w:rPr>
          <w:sz w:val="24"/>
          <w:szCs w:val="24"/>
        </w:rPr>
        <w:t>51 100</w:t>
      </w:r>
      <w:r>
        <w:rPr>
          <w:sz w:val="24"/>
          <w:szCs w:val="24"/>
        </w:rPr>
        <w:t xml:space="preserve"> </w:t>
      </w:r>
      <w:r w:rsidRPr="0008680B">
        <w:rPr>
          <w:sz w:val="24"/>
          <w:szCs w:val="24"/>
        </w:rPr>
        <w:t>тыс. тенге</w:t>
      </w:r>
      <w:r w:rsidR="00CF1531">
        <w:rPr>
          <w:sz w:val="24"/>
          <w:szCs w:val="24"/>
        </w:rPr>
        <w:t xml:space="preserve"> в связи с недостаточностью средств в тарифной смете, а также ростом</w:t>
      </w:r>
      <w:r>
        <w:rPr>
          <w:sz w:val="24"/>
          <w:szCs w:val="24"/>
        </w:rPr>
        <w:t xml:space="preserve"> стоимости на хим.реагенты и реактивы. </w:t>
      </w:r>
    </w:p>
    <w:p w:rsidR="00BC4726" w:rsidRDefault="00BC4726" w:rsidP="00957C91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Pr="0023767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Вода на технологические цели». </w:t>
      </w:r>
      <w:r w:rsidRPr="00B619D4">
        <w:rPr>
          <w:sz w:val="24"/>
          <w:szCs w:val="24"/>
        </w:rPr>
        <w:t xml:space="preserve">По данной статье </w:t>
      </w:r>
      <w:r>
        <w:rPr>
          <w:sz w:val="24"/>
          <w:szCs w:val="24"/>
        </w:rPr>
        <w:t>сложился перерасход</w:t>
      </w:r>
      <w:r w:rsidRPr="00B619D4">
        <w:rPr>
          <w:sz w:val="24"/>
          <w:szCs w:val="24"/>
        </w:rPr>
        <w:t xml:space="preserve"> в сумме </w:t>
      </w:r>
      <w:r w:rsidR="00970ED3">
        <w:rPr>
          <w:sz w:val="24"/>
          <w:szCs w:val="24"/>
        </w:rPr>
        <w:t>32 442</w:t>
      </w:r>
      <w:r>
        <w:rPr>
          <w:sz w:val="24"/>
          <w:szCs w:val="24"/>
        </w:rPr>
        <w:t xml:space="preserve"> </w:t>
      </w:r>
      <w:r w:rsidRPr="00B619D4">
        <w:rPr>
          <w:sz w:val="24"/>
          <w:szCs w:val="24"/>
        </w:rPr>
        <w:t>тыс. тенге</w:t>
      </w:r>
      <w:r>
        <w:rPr>
          <w:sz w:val="24"/>
          <w:szCs w:val="24"/>
        </w:rPr>
        <w:t xml:space="preserve">, за счет увеличения </w:t>
      </w:r>
      <w:r w:rsidR="00970ED3">
        <w:rPr>
          <w:sz w:val="24"/>
          <w:szCs w:val="24"/>
        </w:rPr>
        <w:t>объема потребляемой</w:t>
      </w:r>
      <w:r w:rsidR="00C3769B">
        <w:rPr>
          <w:sz w:val="24"/>
          <w:szCs w:val="24"/>
        </w:rPr>
        <w:t xml:space="preserve"> воды и ростом тарифа на воду.</w:t>
      </w:r>
    </w:p>
    <w:p w:rsidR="00BC4726" w:rsidRPr="00237671" w:rsidRDefault="00BC4726" w:rsidP="00957C9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57C91">
        <w:rPr>
          <w:b/>
          <w:sz w:val="24"/>
          <w:szCs w:val="24"/>
        </w:rPr>
        <w:t>По стать</w:t>
      </w:r>
      <w:r w:rsidR="00957C91" w:rsidRPr="00957C91">
        <w:rPr>
          <w:b/>
          <w:sz w:val="24"/>
          <w:szCs w:val="24"/>
        </w:rPr>
        <w:t>е</w:t>
      </w:r>
      <w:r w:rsidR="00C3769B">
        <w:rPr>
          <w:b/>
          <w:sz w:val="24"/>
          <w:szCs w:val="24"/>
        </w:rPr>
        <w:t xml:space="preserve"> </w:t>
      </w:r>
      <w:r w:rsidRPr="00237671">
        <w:rPr>
          <w:b/>
          <w:sz w:val="24"/>
          <w:szCs w:val="24"/>
        </w:rPr>
        <w:t>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773046" w:rsidRDefault="00BC4726" w:rsidP="00773046">
      <w:pPr>
        <w:pStyle w:val="a6"/>
        <w:widowControl w:val="0"/>
        <w:tabs>
          <w:tab w:val="left" w:pos="709"/>
        </w:tabs>
        <w:spacing w:line="288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</w:t>
      </w:r>
      <w:r w:rsidR="00957C91">
        <w:rPr>
          <w:b/>
          <w:sz w:val="24"/>
          <w:szCs w:val="24"/>
        </w:rPr>
        <w:t xml:space="preserve"> соц. налогом и соц.</w:t>
      </w:r>
      <w:r w:rsidRPr="00237671">
        <w:rPr>
          <w:b/>
          <w:sz w:val="24"/>
          <w:szCs w:val="24"/>
        </w:rPr>
        <w:t xml:space="preserve"> отчислениями».</w:t>
      </w:r>
      <w:r>
        <w:rPr>
          <w:b/>
          <w:sz w:val="24"/>
          <w:szCs w:val="24"/>
        </w:rPr>
        <w:t xml:space="preserve"> </w:t>
      </w:r>
      <w:r w:rsidR="00773046" w:rsidRPr="00F94E9E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970ED3">
        <w:rPr>
          <w:sz w:val="24"/>
          <w:szCs w:val="24"/>
        </w:rPr>
        <w:t>710 562</w:t>
      </w:r>
      <w:r w:rsidR="00773046" w:rsidRPr="00F94E9E">
        <w:rPr>
          <w:sz w:val="24"/>
          <w:szCs w:val="24"/>
        </w:rPr>
        <w:t xml:space="preserve"> тыс. тенге, по факту </w:t>
      </w:r>
      <w:r w:rsidR="00970ED3">
        <w:rPr>
          <w:sz w:val="24"/>
          <w:szCs w:val="24"/>
        </w:rPr>
        <w:t>1 083 451</w:t>
      </w:r>
      <w:r w:rsidR="00773046" w:rsidRPr="00F94E9E">
        <w:rPr>
          <w:sz w:val="24"/>
          <w:szCs w:val="24"/>
        </w:rPr>
        <w:t xml:space="preserve"> тыс. тенге. Перерасход </w:t>
      </w:r>
      <w:r w:rsidR="00970ED3">
        <w:rPr>
          <w:sz w:val="24"/>
          <w:szCs w:val="24"/>
        </w:rPr>
        <w:t>372 889</w:t>
      </w:r>
      <w:r w:rsidR="00773046" w:rsidRPr="00F94E9E">
        <w:rPr>
          <w:sz w:val="24"/>
          <w:szCs w:val="24"/>
        </w:rPr>
        <w:t xml:space="preserve"> тыс. тенге</w:t>
      </w:r>
      <w:r w:rsidR="00773046" w:rsidRPr="00F93C55">
        <w:rPr>
          <w:sz w:val="24"/>
          <w:szCs w:val="24"/>
        </w:rPr>
        <w:t xml:space="preserve">. При подаче заявки на утверждение тарифов затраты на оплату труда с </w:t>
      </w:r>
      <w:r w:rsidR="00773046" w:rsidRPr="00A3797F">
        <w:rPr>
          <w:sz w:val="24"/>
          <w:szCs w:val="24"/>
        </w:rPr>
        <w:t xml:space="preserve">отчислениями были заявлены в сумме </w:t>
      </w:r>
      <w:r w:rsidR="00C04A38">
        <w:rPr>
          <w:sz w:val="24"/>
          <w:szCs w:val="24"/>
        </w:rPr>
        <w:t xml:space="preserve">1 007 005 </w:t>
      </w:r>
      <w:r w:rsidR="00773046" w:rsidRPr="00A3797F">
        <w:rPr>
          <w:sz w:val="24"/>
          <w:szCs w:val="24"/>
        </w:rPr>
        <w:t xml:space="preserve"> тыс. тенге, средняя заработная плата была принята в размере </w:t>
      </w:r>
      <w:r w:rsidR="00C04A38">
        <w:rPr>
          <w:sz w:val="24"/>
          <w:szCs w:val="24"/>
        </w:rPr>
        <w:t>184 395</w:t>
      </w:r>
      <w:r w:rsidR="00773046" w:rsidRPr="00A3797F">
        <w:rPr>
          <w:sz w:val="24"/>
          <w:szCs w:val="24"/>
        </w:rPr>
        <w:t xml:space="preserve"> тенге на одного работника. В утвержденном тарифе средняя заработная плата составила </w:t>
      </w:r>
      <w:r w:rsidR="00C04A38">
        <w:rPr>
          <w:sz w:val="24"/>
          <w:szCs w:val="24"/>
        </w:rPr>
        <w:t>135  042</w:t>
      </w:r>
      <w:r w:rsidR="00773046" w:rsidRPr="00A3797F">
        <w:rPr>
          <w:sz w:val="24"/>
          <w:szCs w:val="24"/>
        </w:rPr>
        <w:t xml:space="preserve"> тенге. По факту сред</w:t>
      </w:r>
      <w:r w:rsidR="00C04A38">
        <w:rPr>
          <w:sz w:val="24"/>
          <w:szCs w:val="24"/>
        </w:rPr>
        <w:t>няя заработная плата производственного персонала</w:t>
      </w:r>
      <w:r w:rsidR="00773046" w:rsidRPr="00A3797F">
        <w:rPr>
          <w:sz w:val="24"/>
          <w:szCs w:val="24"/>
        </w:rPr>
        <w:t xml:space="preserve"> за 202</w:t>
      </w:r>
      <w:r w:rsidR="00C04A38">
        <w:rPr>
          <w:sz w:val="24"/>
          <w:szCs w:val="24"/>
        </w:rPr>
        <w:t>1</w:t>
      </w:r>
      <w:r w:rsidR="00773046" w:rsidRPr="00A3797F">
        <w:rPr>
          <w:sz w:val="24"/>
          <w:szCs w:val="24"/>
        </w:rPr>
        <w:t xml:space="preserve"> год составила </w:t>
      </w:r>
      <w:r w:rsidR="00C04A38">
        <w:rPr>
          <w:sz w:val="24"/>
          <w:szCs w:val="24"/>
        </w:rPr>
        <w:t>213 134</w:t>
      </w:r>
      <w:r w:rsidR="00773046" w:rsidRPr="00A3797F">
        <w:rPr>
          <w:sz w:val="24"/>
          <w:szCs w:val="24"/>
        </w:rPr>
        <w:t xml:space="preserve"> тенге.  Согласно статистическим данным за 202</w:t>
      </w:r>
      <w:r w:rsidR="00C04A38">
        <w:rPr>
          <w:sz w:val="24"/>
          <w:szCs w:val="24"/>
        </w:rPr>
        <w:t>1</w:t>
      </w:r>
      <w:r w:rsidR="00773046" w:rsidRPr="00A3797F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–</w:t>
      </w:r>
      <w:r w:rsidR="00C3769B">
        <w:rPr>
          <w:sz w:val="24"/>
          <w:szCs w:val="24"/>
        </w:rPr>
        <w:t xml:space="preserve"> </w:t>
      </w:r>
      <w:r w:rsidR="0091429D">
        <w:rPr>
          <w:sz w:val="24"/>
          <w:szCs w:val="24"/>
        </w:rPr>
        <w:t>252 901</w:t>
      </w:r>
      <w:r w:rsidR="00773046" w:rsidRPr="00A3797F">
        <w:rPr>
          <w:sz w:val="24"/>
          <w:szCs w:val="24"/>
        </w:rPr>
        <w:t xml:space="preserve"> тенге</w:t>
      </w:r>
      <w:r w:rsidR="00773046" w:rsidRPr="00AB3F23">
        <w:rPr>
          <w:sz w:val="24"/>
          <w:szCs w:val="24"/>
        </w:rPr>
        <w:t>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1047AF" w:rsidRDefault="001047AF" w:rsidP="00773046">
      <w:pPr>
        <w:pStyle w:val="a6"/>
        <w:widowControl w:val="0"/>
        <w:tabs>
          <w:tab w:val="left" w:pos="709"/>
        </w:tabs>
        <w:spacing w:line="288" w:lineRule="auto"/>
        <w:ind w:firstLine="720"/>
        <w:jc w:val="both"/>
        <w:rPr>
          <w:sz w:val="24"/>
          <w:szCs w:val="24"/>
        </w:rPr>
      </w:pPr>
      <w:r w:rsidRPr="001047AF">
        <w:rPr>
          <w:b/>
          <w:sz w:val="24"/>
          <w:szCs w:val="24"/>
        </w:rPr>
        <w:t>По статье «Ремонты»</w:t>
      </w:r>
      <w:r>
        <w:rPr>
          <w:sz w:val="24"/>
          <w:szCs w:val="24"/>
        </w:rPr>
        <w:t xml:space="preserve"> </w:t>
      </w:r>
      <w:r w:rsidR="0091429D">
        <w:rPr>
          <w:sz w:val="24"/>
          <w:szCs w:val="24"/>
        </w:rPr>
        <w:t>экономия</w:t>
      </w:r>
      <w:r>
        <w:rPr>
          <w:sz w:val="24"/>
          <w:szCs w:val="24"/>
        </w:rPr>
        <w:t xml:space="preserve"> на </w:t>
      </w:r>
      <w:r w:rsidR="0091429D">
        <w:rPr>
          <w:sz w:val="24"/>
          <w:szCs w:val="24"/>
        </w:rPr>
        <w:t>42 327</w:t>
      </w:r>
      <w:r>
        <w:rPr>
          <w:sz w:val="24"/>
          <w:szCs w:val="24"/>
        </w:rPr>
        <w:t xml:space="preserve"> тыс.тенге</w:t>
      </w:r>
      <w:r w:rsidR="0091429D">
        <w:rPr>
          <w:sz w:val="24"/>
          <w:szCs w:val="24"/>
        </w:rPr>
        <w:t xml:space="preserve"> или 2,6%</w:t>
      </w:r>
      <w:r w:rsidR="00DD0D01">
        <w:rPr>
          <w:sz w:val="24"/>
          <w:szCs w:val="24"/>
        </w:rPr>
        <w:t xml:space="preserve">, </w:t>
      </w:r>
      <w:r w:rsidR="0091429D">
        <w:rPr>
          <w:sz w:val="24"/>
          <w:szCs w:val="24"/>
        </w:rPr>
        <w:t xml:space="preserve">в пределах допустимых норм </w:t>
      </w:r>
      <w:r w:rsidR="0091429D" w:rsidRPr="00237671">
        <w:rPr>
          <w:sz w:val="24"/>
          <w:szCs w:val="24"/>
        </w:rPr>
        <w:t>(до 5%)</w:t>
      </w:r>
      <w:r w:rsidR="0091429D">
        <w:rPr>
          <w:sz w:val="24"/>
          <w:szCs w:val="24"/>
        </w:rPr>
        <w:t>.</w:t>
      </w:r>
    </w:p>
    <w:p w:rsidR="00BC4726" w:rsidRPr="00237671" w:rsidRDefault="00BC4726" w:rsidP="00957C9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91429D">
        <w:rPr>
          <w:sz w:val="24"/>
          <w:szCs w:val="24"/>
        </w:rPr>
        <w:t>16 600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>
        <w:rPr>
          <w:sz w:val="24"/>
          <w:szCs w:val="24"/>
        </w:rPr>
        <w:t xml:space="preserve">технические характеристики и пожарно-оперативное обслуживание, вследствие </w:t>
      </w:r>
      <w:r w:rsidRPr="00237671">
        <w:rPr>
          <w:sz w:val="24"/>
          <w:szCs w:val="24"/>
        </w:rPr>
        <w:t>удорожани</w:t>
      </w:r>
      <w:r>
        <w:rPr>
          <w:sz w:val="24"/>
          <w:szCs w:val="24"/>
        </w:rPr>
        <w:t>я</w:t>
      </w:r>
      <w:r w:rsidRPr="00237671">
        <w:rPr>
          <w:sz w:val="24"/>
          <w:szCs w:val="24"/>
        </w:rPr>
        <w:t xml:space="preserve"> стоимости услуг. </w:t>
      </w:r>
    </w:p>
    <w:p w:rsidR="00A948A5" w:rsidRPr="0008680B" w:rsidRDefault="00BC4726" w:rsidP="00A948A5">
      <w:pPr>
        <w:pStyle w:val="a6"/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A948A5">
        <w:rPr>
          <w:b/>
          <w:sz w:val="24"/>
          <w:szCs w:val="24"/>
        </w:rPr>
        <w:t>Расходы периода.</w:t>
      </w:r>
      <w:r w:rsidRPr="00A948A5">
        <w:rPr>
          <w:sz w:val="24"/>
          <w:szCs w:val="24"/>
        </w:rPr>
        <w:t xml:space="preserve"> </w:t>
      </w:r>
      <w:r w:rsidR="00A948A5" w:rsidRPr="00A948A5">
        <w:rPr>
          <w:sz w:val="24"/>
          <w:szCs w:val="24"/>
        </w:rPr>
        <w:t xml:space="preserve">В целом по расходам периода образовался перерасход на сумму </w:t>
      </w:r>
      <w:r w:rsidR="00C27D68">
        <w:rPr>
          <w:sz w:val="24"/>
          <w:szCs w:val="24"/>
        </w:rPr>
        <w:t>241 688</w:t>
      </w:r>
      <w:r w:rsidR="00A948A5" w:rsidRPr="00A948A5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C27D68">
        <w:rPr>
          <w:sz w:val="24"/>
          <w:szCs w:val="24"/>
        </w:rPr>
        <w:t>239 341</w:t>
      </w:r>
      <w:r w:rsidR="000B1F78">
        <w:rPr>
          <w:sz w:val="24"/>
          <w:szCs w:val="24"/>
        </w:rPr>
        <w:t xml:space="preserve"> </w:t>
      </w:r>
      <w:r w:rsidR="00A948A5" w:rsidRPr="00A948A5">
        <w:rPr>
          <w:sz w:val="24"/>
          <w:szCs w:val="24"/>
        </w:rPr>
        <w:t>тыс. тенге, по расходам по реализации –</w:t>
      </w:r>
      <w:r w:rsidR="0091429D">
        <w:rPr>
          <w:sz w:val="24"/>
          <w:szCs w:val="24"/>
        </w:rPr>
        <w:t xml:space="preserve"> 2 347</w:t>
      </w:r>
      <w:r w:rsidR="00A948A5" w:rsidRPr="00A948A5">
        <w:rPr>
          <w:sz w:val="24"/>
          <w:szCs w:val="24"/>
        </w:rPr>
        <w:t xml:space="preserve"> тыс. тенге.</w:t>
      </w:r>
    </w:p>
    <w:p w:rsidR="00BC4726" w:rsidRDefault="00BC4726" w:rsidP="00957C9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9406D9" w:rsidRPr="00237671" w:rsidRDefault="009406D9" w:rsidP="00957C9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0100A1" w:rsidRPr="0013388C" w:rsidRDefault="000100A1" w:rsidP="00957C91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b/>
          <w:sz w:val="24"/>
          <w:szCs w:val="24"/>
        </w:rPr>
      </w:pPr>
      <w:r w:rsidRPr="0013388C">
        <w:rPr>
          <w:b/>
          <w:sz w:val="24"/>
          <w:szCs w:val="24"/>
        </w:rPr>
        <w:t>О перспективах деятельности (планы развития), в том числе возможных изменениях тарифов на регулируемые услуги</w:t>
      </w:r>
    </w:p>
    <w:p w:rsidR="000100A1" w:rsidRPr="0013388C" w:rsidRDefault="000100A1" w:rsidP="00957C91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усиление требований к охране здоровья персонала, промышленной безопасности и </w:t>
      </w:r>
      <w:r w:rsidRPr="0013388C">
        <w:rPr>
          <w:rStyle w:val="s0"/>
          <w:sz w:val="24"/>
          <w:szCs w:val="24"/>
        </w:rPr>
        <w:lastRenderedPageBreak/>
        <w:t>снижению травматизма;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100A1" w:rsidRPr="0013388C" w:rsidRDefault="000100A1" w:rsidP="00957C91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13388C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0100A1" w:rsidRPr="0013388C" w:rsidRDefault="000100A1" w:rsidP="00957C91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0100A1" w:rsidRPr="00237671" w:rsidRDefault="000100A1" w:rsidP="00957C91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</w:t>
      </w:r>
      <w:r w:rsidRPr="0013388C">
        <w:rPr>
          <w:sz w:val="24"/>
          <w:szCs w:val="24"/>
        </w:rPr>
        <w:t xml:space="preserve"> № </w:t>
      </w:r>
      <w:r w:rsidR="00574776">
        <w:rPr>
          <w:sz w:val="24"/>
          <w:szCs w:val="24"/>
          <w:lang w:val="kk-KZ"/>
        </w:rPr>
        <w:t>91</w:t>
      </w:r>
      <w:r w:rsidRPr="0013388C">
        <w:rPr>
          <w:sz w:val="24"/>
          <w:szCs w:val="24"/>
        </w:rPr>
        <w:t xml:space="preserve">-ОД </w:t>
      </w:r>
      <w:r w:rsidR="00574776">
        <w:rPr>
          <w:sz w:val="24"/>
          <w:szCs w:val="24"/>
        </w:rPr>
        <w:t xml:space="preserve">от 27 ноября 2020 года </w:t>
      </w:r>
      <w:r w:rsidRPr="0013388C">
        <w:rPr>
          <w:sz w:val="24"/>
          <w:szCs w:val="24"/>
        </w:rPr>
        <w:t xml:space="preserve">РГУ ДКРЕМ МНЭ РК по Павлодарской области в утверждены тарифы на производство </w:t>
      </w:r>
      <w:r>
        <w:rPr>
          <w:sz w:val="24"/>
          <w:szCs w:val="24"/>
        </w:rPr>
        <w:t xml:space="preserve">тепловой энергии </w:t>
      </w:r>
      <w:r w:rsidR="00574776">
        <w:rPr>
          <w:sz w:val="24"/>
          <w:szCs w:val="24"/>
          <w:lang w:val="kk-KZ"/>
        </w:rPr>
        <w:t xml:space="preserve">по </w:t>
      </w:r>
      <w:r w:rsidR="00574776">
        <w:rPr>
          <w:sz w:val="24"/>
          <w:szCs w:val="24"/>
        </w:rPr>
        <w:t>АО «ПАВЛОДАРЭНЕРГО»</w:t>
      </w:r>
      <w:r w:rsidRPr="0013388C">
        <w:rPr>
          <w:sz w:val="24"/>
          <w:szCs w:val="24"/>
        </w:rPr>
        <w:t xml:space="preserve"> на 20</w:t>
      </w:r>
      <w:r w:rsidR="00574776">
        <w:rPr>
          <w:sz w:val="24"/>
          <w:szCs w:val="24"/>
          <w:lang w:val="kk-KZ"/>
        </w:rPr>
        <w:t>21</w:t>
      </w:r>
      <w:r w:rsidRPr="0013388C">
        <w:rPr>
          <w:sz w:val="24"/>
          <w:szCs w:val="24"/>
        </w:rPr>
        <w:t>-202</w:t>
      </w:r>
      <w:r w:rsidR="00574776">
        <w:rPr>
          <w:sz w:val="24"/>
          <w:szCs w:val="24"/>
          <w:lang w:val="kk-KZ"/>
        </w:rPr>
        <w:t>5</w:t>
      </w:r>
      <w:r w:rsidRPr="0013388C">
        <w:rPr>
          <w:sz w:val="24"/>
          <w:szCs w:val="24"/>
        </w:rPr>
        <w:t xml:space="preserve"> года.</w:t>
      </w:r>
    </w:p>
    <w:p w:rsidR="00C27D68" w:rsidRDefault="00C27D68" w:rsidP="00C27D68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 w:rsidRPr="0008680B">
        <w:rPr>
          <w:sz w:val="24"/>
          <w:szCs w:val="24"/>
        </w:rPr>
        <w:t xml:space="preserve">Приказом № </w:t>
      </w:r>
      <w:r>
        <w:rPr>
          <w:sz w:val="24"/>
          <w:szCs w:val="24"/>
        </w:rPr>
        <w:t>66</w:t>
      </w:r>
      <w:r w:rsidRPr="0008680B">
        <w:rPr>
          <w:sz w:val="24"/>
          <w:szCs w:val="24"/>
        </w:rPr>
        <w:t xml:space="preserve">-ОД от </w:t>
      </w:r>
      <w:r>
        <w:rPr>
          <w:sz w:val="24"/>
          <w:szCs w:val="24"/>
        </w:rPr>
        <w:t xml:space="preserve">14 июля 2021 года </w:t>
      </w:r>
      <w:r w:rsidRPr="0013388C">
        <w:rPr>
          <w:sz w:val="24"/>
          <w:szCs w:val="24"/>
        </w:rPr>
        <w:t>РГУ</w:t>
      </w:r>
      <w:r w:rsidRPr="002E77C3">
        <w:rPr>
          <w:sz w:val="24"/>
          <w:szCs w:val="24"/>
        </w:rPr>
        <w:t xml:space="preserve"> ДКРЕМ</w:t>
      </w:r>
      <w:r>
        <w:rPr>
          <w:sz w:val="24"/>
          <w:szCs w:val="24"/>
        </w:rPr>
        <w:t xml:space="preserve"> </w:t>
      </w:r>
      <w:r w:rsidRPr="002E77C3">
        <w:rPr>
          <w:sz w:val="24"/>
          <w:szCs w:val="24"/>
        </w:rPr>
        <w:t xml:space="preserve">МНЭ РК </w:t>
      </w:r>
      <w:r w:rsidRPr="0013388C">
        <w:rPr>
          <w:sz w:val="24"/>
          <w:szCs w:val="24"/>
        </w:rPr>
        <w:t xml:space="preserve">по Павлодарской области </w:t>
      </w:r>
      <w:r w:rsidRPr="0008680B">
        <w:rPr>
          <w:sz w:val="24"/>
          <w:szCs w:val="24"/>
        </w:rPr>
        <w:t xml:space="preserve">утверждены </w:t>
      </w:r>
      <w:r w:rsidRPr="0013388C">
        <w:rPr>
          <w:sz w:val="24"/>
          <w:szCs w:val="24"/>
        </w:rPr>
        <w:t xml:space="preserve">тарифы на производство </w:t>
      </w:r>
      <w:r>
        <w:rPr>
          <w:sz w:val="24"/>
          <w:szCs w:val="24"/>
        </w:rPr>
        <w:t xml:space="preserve">тепловой энергии </w:t>
      </w:r>
      <w:r>
        <w:rPr>
          <w:sz w:val="24"/>
          <w:szCs w:val="24"/>
          <w:lang w:val="kk-KZ"/>
        </w:rPr>
        <w:t xml:space="preserve">по </w:t>
      </w:r>
      <w:r>
        <w:rPr>
          <w:sz w:val="24"/>
          <w:szCs w:val="24"/>
        </w:rPr>
        <w:t>АО «ПАВЛОДАРЭНЕРГО»</w:t>
      </w:r>
      <w:r w:rsidRPr="0013388C">
        <w:rPr>
          <w:sz w:val="24"/>
          <w:szCs w:val="24"/>
        </w:rPr>
        <w:t xml:space="preserve"> на 20</w:t>
      </w:r>
      <w:r>
        <w:rPr>
          <w:sz w:val="24"/>
          <w:szCs w:val="24"/>
          <w:lang w:val="kk-KZ"/>
        </w:rPr>
        <w:t>21</w:t>
      </w:r>
      <w:r w:rsidRPr="0013388C">
        <w:rPr>
          <w:sz w:val="24"/>
          <w:szCs w:val="24"/>
        </w:rPr>
        <w:t>-202</w:t>
      </w:r>
      <w:r>
        <w:rPr>
          <w:sz w:val="24"/>
          <w:szCs w:val="24"/>
          <w:lang w:val="kk-KZ"/>
        </w:rPr>
        <w:t>5</w:t>
      </w:r>
      <w:r w:rsidRPr="0013388C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введенные в действие с 1 августа 2021 года.</w:t>
      </w:r>
      <w:bookmarkStart w:id="2" w:name="_GoBack"/>
      <w:bookmarkEnd w:id="2"/>
    </w:p>
    <w:p w:rsidR="00243177" w:rsidRPr="00C86851" w:rsidRDefault="00243177" w:rsidP="00F01663">
      <w:pPr>
        <w:widowControl w:val="0"/>
        <w:ind w:firstLine="709"/>
        <w:jc w:val="both"/>
        <w:rPr>
          <w:sz w:val="24"/>
          <w:szCs w:val="24"/>
        </w:rPr>
      </w:pPr>
    </w:p>
    <w:sectPr w:rsidR="00243177" w:rsidRPr="00C86851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12"/>
    <w:multiLevelType w:val="hybridMultilevel"/>
    <w:tmpl w:val="9014D932"/>
    <w:lvl w:ilvl="0" w:tplc="E208E00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0027B"/>
    <w:multiLevelType w:val="hybridMultilevel"/>
    <w:tmpl w:val="8A34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212845"/>
    <w:multiLevelType w:val="hybridMultilevel"/>
    <w:tmpl w:val="1292D43C"/>
    <w:lvl w:ilvl="0" w:tplc="B558A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86FDF"/>
    <w:multiLevelType w:val="multilevel"/>
    <w:tmpl w:val="288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770B9"/>
    <w:multiLevelType w:val="hybridMultilevel"/>
    <w:tmpl w:val="7AF20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45535A"/>
    <w:multiLevelType w:val="hybridMultilevel"/>
    <w:tmpl w:val="DFB26D68"/>
    <w:lvl w:ilvl="0" w:tplc="73C6CC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27B0"/>
    <w:multiLevelType w:val="hybridMultilevel"/>
    <w:tmpl w:val="A1245274"/>
    <w:lvl w:ilvl="0" w:tplc="73C6CCA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326A8"/>
    <w:rsid w:val="00033627"/>
    <w:rsid w:val="0004048A"/>
    <w:rsid w:val="000433DD"/>
    <w:rsid w:val="00052333"/>
    <w:rsid w:val="0006637C"/>
    <w:rsid w:val="000736DC"/>
    <w:rsid w:val="000826AE"/>
    <w:rsid w:val="000B15EB"/>
    <w:rsid w:val="000B1F78"/>
    <w:rsid w:val="000B3041"/>
    <w:rsid w:val="000B7BD2"/>
    <w:rsid w:val="000D0D02"/>
    <w:rsid w:val="001047AF"/>
    <w:rsid w:val="0011453F"/>
    <w:rsid w:val="001200A2"/>
    <w:rsid w:val="001232FA"/>
    <w:rsid w:val="00123F5D"/>
    <w:rsid w:val="00126F86"/>
    <w:rsid w:val="00135CB5"/>
    <w:rsid w:val="00147B80"/>
    <w:rsid w:val="00152AEA"/>
    <w:rsid w:val="00154E54"/>
    <w:rsid w:val="00160D8E"/>
    <w:rsid w:val="001708A5"/>
    <w:rsid w:val="001708DF"/>
    <w:rsid w:val="00180154"/>
    <w:rsid w:val="00190FE2"/>
    <w:rsid w:val="001B69F4"/>
    <w:rsid w:val="001C08EA"/>
    <w:rsid w:val="001C39D4"/>
    <w:rsid w:val="001C7EB9"/>
    <w:rsid w:val="001E7A16"/>
    <w:rsid w:val="001F2B39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74BB1"/>
    <w:rsid w:val="002A36F1"/>
    <w:rsid w:val="002A47DF"/>
    <w:rsid w:val="002B27CB"/>
    <w:rsid w:val="002B7FB8"/>
    <w:rsid w:val="002D1C63"/>
    <w:rsid w:val="00315777"/>
    <w:rsid w:val="0032552B"/>
    <w:rsid w:val="00334A95"/>
    <w:rsid w:val="00343D5A"/>
    <w:rsid w:val="00377A88"/>
    <w:rsid w:val="0038492F"/>
    <w:rsid w:val="00386016"/>
    <w:rsid w:val="00394E9E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37CBD"/>
    <w:rsid w:val="00453AF2"/>
    <w:rsid w:val="00456E29"/>
    <w:rsid w:val="004732C9"/>
    <w:rsid w:val="00497A1B"/>
    <w:rsid w:val="004B6BF2"/>
    <w:rsid w:val="004C74B9"/>
    <w:rsid w:val="00503FCE"/>
    <w:rsid w:val="00504AED"/>
    <w:rsid w:val="00504D79"/>
    <w:rsid w:val="00527F0D"/>
    <w:rsid w:val="005364C7"/>
    <w:rsid w:val="00542863"/>
    <w:rsid w:val="0054356C"/>
    <w:rsid w:val="005476D0"/>
    <w:rsid w:val="005524DA"/>
    <w:rsid w:val="00574776"/>
    <w:rsid w:val="00580AE1"/>
    <w:rsid w:val="005A7344"/>
    <w:rsid w:val="005A76D7"/>
    <w:rsid w:val="005D59EB"/>
    <w:rsid w:val="005E362D"/>
    <w:rsid w:val="005E7294"/>
    <w:rsid w:val="0065060F"/>
    <w:rsid w:val="00655BBE"/>
    <w:rsid w:val="00663892"/>
    <w:rsid w:val="00674D78"/>
    <w:rsid w:val="00677FC2"/>
    <w:rsid w:val="00693574"/>
    <w:rsid w:val="00694CFF"/>
    <w:rsid w:val="006A7113"/>
    <w:rsid w:val="006D31C0"/>
    <w:rsid w:val="006E461C"/>
    <w:rsid w:val="006F701F"/>
    <w:rsid w:val="006F75B5"/>
    <w:rsid w:val="00701D29"/>
    <w:rsid w:val="00716E9F"/>
    <w:rsid w:val="00723078"/>
    <w:rsid w:val="00723623"/>
    <w:rsid w:val="00725C41"/>
    <w:rsid w:val="007577B0"/>
    <w:rsid w:val="00773046"/>
    <w:rsid w:val="00777017"/>
    <w:rsid w:val="007E0ADA"/>
    <w:rsid w:val="007E0B4D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750F1"/>
    <w:rsid w:val="008914CC"/>
    <w:rsid w:val="008B0892"/>
    <w:rsid w:val="008B69E7"/>
    <w:rsid w:val="008C3D0F"/>
    <w:rsid w:val="008E2B21"/>
    <w:rsid w:val="008F38A3"/>
    <w:rsid w:val="00904EB3"/>
    <w:rsid w:val="00906AF2"/>
    <w:rsid w:val="0091429D"/>
    <w:rsid w:val="00914F66"/>
    <w:rsid w:val="00920F89"/>
    <w:rsid w:val="0092140B"/>
    <w:rsid w:val="009253D8"/>
    <w:rsid w:val="009406D9"/>
    <w:rsid w:val="0094172E"/>
    <w:rsid w:val="00946A1D"/>
    <w:rsid w:val="00953EA3"/>
    <w:rsid w:val="00957C91"/>
    <w:rsid w:val="00970ED3"/>
    <w:rsid w:val="00971AD2"/>
    <w:rsid w:val="00993831"/>
    <w:rsid w:val="009B0256"/>
    <w:rsid w:val="009C4915"/>
    <w:rsid w:val="009F69AC"/>
    <w:rsid w:val="00A2554E"/>
    <w:rsid w:val="00A274AF"/>
    <w:rsid w:val="00A3194B"/>
    <w:rsid w:val="00A45EC5"/>
    <w:rsid w:val="00A5607F"/>
    <w:rsid w:val="00A735EA"/>
    <w:rsid w:val="00A7612D"/>
    <w:rsid w:val="00A8501C"/>
    <w:rsid w:val="00A863A4"/>
    <w:rsid w:val="00A948A5"/>
    <w:rsid w:val="00A96E49"/>
    <w:rsid w:val="00AA151D"/>
    <w:rsid w:val="00AB0B78"/>
    <w:rsid w:val="00AC1114"/>
    <w:rsid w:val="00AC31C8"/>
    <w:rsid w:val="00AC7DB6"/>
    <w:rsid w:val="00AE402A"/>
    <w:rsid w:val="00B1392F"/>
    <w:rsid w:val="00B370FA"/>
    <w:rsid w:val="00B42846"/>
    <w:rsid w:val="00B72D7D"/>
    <w:rsid w:val="00B7454A"/>
    <w:rsid w:val="00B82B8C"/>
    <w:rsid w:val="00B84FFF"/>
    <w:rsid w:val="00B93517"/>
    <w:rsid w:val="00BA63E6"/>
    <w:rsid w:val="00BB6C24"/>
    <w:rsid w:val="00BC1530"/>
    <w:rsid w:val="00BC4726"/>
    <w:rsid w:val="00BD2274"/>
    <w:rsid w:val="00BE2FB5"/>
    <w:rsid w:val="00BF108B"/>
    <w:rsid w:val="00BF197E"/>
    <w:rsid w:val="00C04A38"/>
    <w:rsid w:val="00C27D68"/>
    <w:rsid w:val="00C3769B"/>
    <w:rsid w:val="00C52925"/>
    <w:rsid w:val="00C63915"/>
    <w:rsid w:val="00C86851"/>
    <w:rsid w:val="00C9343B"/>
    <w:rsid w:val="00CA5A57"/>
    <w:rsid w:val="00CD2BED"/>
    <w:rsid w:val="00CE04C1"/>
    <w:rsid w:val="00CF1531"/>
    <w:rsid w:val="00D027CD"/>
    <w:rsid w:val="00D048F0"/>
    <w:rsid w:val="00D04A97"/>
    <w:rsid w:val="00D06B01"/>
    <w:rsid w:val="00D12241"/>
    <w:rsid w:val="00D26D9B"/>
    <w:rsid w:val="00D5098B"/>
    <w:rsid w:val="00D53606"/>
    <w:rsid w:val="00D56C2A"/>
    <w:rsid w:val="00D60406"/>
    <w:rsid w:val="00D73BEF"/>
    <w:rsid w:val="00DC289D"/>
    <w:rsid w:val="00DD0D01"/>
    <w:rsid w:val="00DD21AA"/>
    <w:rsid w:val="00DD6A5A"/>
    <w:rsid w:val="00DE1BB6"/>
    <w:rsid w:val="00DF083E"/>
    <w:rsid w:val="00DF46F7"/>
    <w:rsid w:val="00E017E9"/>
    <w:rsid w:val="00E0241D"/>
    <w:rsid w:val="00E22B50"/>
    <w:rsid w:val="00E325B2"/>
    <w:rsid w:val="00E549B7"/>
    <w:rsid w:val="00E66E4A"/>
    <w:rsid w:val="00E86EAC"/>
    <w:rsid w:val="00EA0DC8"/>
    <w:rsid w:val="00EB3290"/>
    <w:rsid w:val="00EB358D"/>
    <w:rsid w:val="00EB69F2"/>
    <w:rsid w:val="00EC527D"/>
    <w:rsid w:val="00EC656B"/>
    <w:rsid w:val="00ED3148"/>
    <w:rsid w:val="00ED3AA6"/>
    <w:rsid w:val="00ED65DE"/>
    <w:rsid w:val="00EE401F"/>
    <w:rsid w:val="00EF4585"/>
    <w:rsid w:val="00F01663"/>
    <w:rsid w:val="00F1776A"/>
    <w:rsid w:val="00F37980"/>
    <w:rsid w:val="00F6036F"/>
    <w:rsid w:val="00F61F7E"/>
    <w:rsid w:val="00F77677"/>
    <w:rsid w:val="00F95A77"/>
    <w:rsid w:val="00FB3B4D"/>
    <w:rsid w:val="00FE1292"/>
    <w:rsid w:val="00FE12AC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7E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152AEA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2041964.2870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6731</TotalTime>
  <Pages>10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Наукенова Дана Даулетовна</cp:lastModifiedBy>
  <cp:revision>40</cp:revision>
  <cp:lastPrinted>2022-04-20T08:58:00Z</cp:lastPrinted>
  <dcterms:created xsi:type="dcterms:W3CDTF">2018-04-27T05:56:00Z</dcterms:created>
  <dcterms:modified xsi:type="dcterms:W3CDTF">2022-05-03T04:32:00Z</dcterms:modified>
</cp:coreProperties>
</file>