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7D" w:rsidRDefault="00885B16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Ежегодный о</w:t>
      </w:r>
      <w:r w:rsidR="009F2A07" w:rsidRPr="00F32752">
        <w:rPr>
          <w:rFonts w:ascii="Times New Roman" w:hAnsi="Times New Roman" w:cs="Times New Roman"/>
          <w:b/>
          <w:sz w:val="24"/>
        </w:rPr>
        <w:t xml:space="preserve">тчет о деятельности </w:t>
      </w:r>
    </w:p>
    <w:p w:rsidR="005A6F7D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:rsidR="00F70323" w:rsidRPr="00F32752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32752">
        <w:rPr>
          <w:rFonts w:ascii="Times New Roman" w:hAnsi="Times New Roman" w:cs="Times New Roman"/>
          <w:b/>
          <w:sz w:val="24"/>
        </w:rPr>
        <w:t>по</w:t>
      </w:r>
      <w:proofErr w:type="gramEnd"/>
      <w:r w:rsidRPr="00F32752">
        <w:rPr>
          <w:rFonts w:ascii="Times New Roman" w:hAnsi="Times New Roman" w:cs="Times New Roman"/>
          <w:b/>
          <w:sz w:val="24"/>
        </w:rPr>
        <w:t xml:space="preserve"> </w:t>
      </w:r>
      <w:r w:rsidR="005A6F7D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F32752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  <w:r w:rsidR="006D365F">
        <w:rPr>
          <w:rFonts w:ascii="Times New Roman" w:hAnsi="Times New Roman" w:cs="Times New Roman"/>
          <w:b/>
          <w:sz w:val="24"/>
        </w:rPr>
        <w:t xml:space="preserve"> и исполнении инвестиционной программы</w:t>
      </w:r>
      <w:r w:rsidR="005A6F7D">
        <w:rPr>
          <w:rFonts w:ascii="Times New Roman" w:hAnsi="Times New Roman" w:cs="Times New Roman"/>
          <w:b/>
          <w:sz w:val="24"/>
        </w:rPr>
        <w:t xml:space="preserve"> </w:t>
      </w:r>
      <w:r w:rsidRPr="00F32752">
        <w:rPr>
          <w:rFonts w:ascii="Times New Roman" w:hAnsi="Times New Roman" w:cs="Times New Roman"/>
          <w:b/>
          <w:sz w:val="24"/>
        </w:rPr>
        <w:t>за 201</w:t>
      </w:r>
      <w:r w:rsidR="006D365F">
        <w:rPr>
          <w:rFonts w:ascii="Times New Roman" w:hAnsi="Times New Roman" w:cs="Times New Roman"/>
          <w:b/>
          <w:sz w:val="24"/>
        </w:rPr>
        <w:t>8</w:t>
      </w:r>
      <w:r w:rsidRPr="00F32752">
        <w:rPr>
          <w:rFonts w:ascii="Times New Roman" w:hAnsi="Times New Roman" w:cs="Times New Roman"/>
          <w:b/>
          <w:sz w:val="24"/>
        </w:rPr>
        <w:t xml:space="preserve"> год</w:t>
      </w:r>
    </w:p>
    <w:p w:rsidR="009F2A07" w:rsidRPr="00503A38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В соответствии с:</w:t>
      </w:r>
    </w:p>
    <w:p w:rsidR="009F2A07" w:rsidRPr="00800BF1" w:rsidRDefault="009F2A07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п.</w:t>
      </w:r>
      <w:r w:rsidR="00615FF0">
        <w:rPr>
          <w:rFonts w:ascii="Times New Roman" w:hAnsi="Times New Roman" w:cs="Times New Roman"/>
          <w:sz w:val="20"/>
          <w:szCs w:val="20"/>
        </w:rPr>
        <w:t xml:space="preserve"> 21</w:t>
      </w:r>
      <w:r w:rsidRPr="00503A38">
        <w:rPr>
          <w:rFonts w:ascii="Times New Roman" w:hAnsi="Times New Roman" w:cs="Times New Roman"/>
          <w:sz w:val="20"/>
          <w:szCs w:val="20"/>
        </w:rPr>
        <w:t xml:space="preserve"> Приказа Министра национальной экономики Республики Казахстан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</w:t>
      </w:r>
      <w:r w:rsidRPr="00800BF1">
        <w:rPr>
          <w:rFonts w:ascii="Times New Roman" w:hAnsi="Times New Roman" w:cs="Times New Roman"/>
          <w:sz w:val="20"/>
          <w:szCs w:val="20"/>
        </w:rPr>
        <w:t>лицами</w:t>
      </w:r>
      <w:r w:rsidR="005A6F7D" w:rsidRPr="00800BF1">
        <w:rPr>
          <w:rFonts w:ascii="Times New Roman" w:hAnsi="Times New Roman" w:cs="Times New Roman"/>
          <w:sz w:val="20"/>
          <w:szCs w:val="20"/>
        </w:rPr>
        <w:t>.</w:t>
      </w:r>
    </w:p>
    <w:p w:rsidR="00615FF0" w:rsidRPr="00615FF0" w:rsidRDefault="00615FF0" w:rsidP="00615F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F0">
        <w:rPr>
          <w:rFonts w:ascii="Times New Roman" w:hAnsi="Times New Roman" w:cs="Times New Roman"/>
          <w:sz w:val="24"/>
          <w:szCs w:val="24"/>
        </w:rPr>
        <w:t>2</w:t>
      </w:r>
      <w:r w:rsidR="00563656">
        <w:rPr>
          <w:rFonts w:ascii="Times New Roman" w:hAnsi="Times New Roman" w:cs="Times New Roman"/>
          <w:sz w:val="24"/>
          <w:szCs w:val="24"/>
        </w:rPr>
        <w:t>3</w:t>
      </w:r>
      <w:r w:rsidRPr="00615FF0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563656">
        <w:rPr>
          <w:rFonts w:ascii="Times New Roman" w:hAnsi="Times New Roman" w:cs="Times New Roman"/>
          <w:sz w:val="24"/>
          <w:szCs w:val="24"/>
        </w:rPr>
        <w:t>9</w:t>
      </w:r>
      <w:r w:rsidRPr="00615FF0">
        <w:rPr>
          <w:rFonts w:ascii="Times New Roman" w:hAnsi="Times New Roman" w:cs="Times New Roman"/>
          <w:sz w:val="24"/>
          <w:szCs w:val="24"/>
        </w:rPr>
        <w:t xml:space="preserve"> года в 11.00 в г. Павлодаре по адресу Кривенко 25а АО «ПРЭК» провело ежегодные слушания отчета по предоставлению услуг по передаче и распределению электрической энергии</w:t>
      </w:r>
      <w:r w:rsidR="000372F8">
        <w:rPr>
          <w:rFonts w:ascii="Times New Roman" w:hAnsi="Times New Roman" w:cs="Times New Roman"/>
          <w:sz w:val="24"/>
          <w:szCs w:val="24"/>
        </w:rPr>
        <w:t xml:space="preserve"> и исполнении инвестиционной программы</w:t>
      </w:r>
      <w:r w:rsidRPr="00615FF0">
        <w:rPr>
          <w:rFonts w:ascii="Times New Roman" w:hAnsi="Times New Roman" w:cs="Times New Roman"/>
          <w:sz w:val="24"/>
          <w:szCs w:val="24"/>
        </w:rPr>
        <w:t xml:space="preserve"> за 201</w:t>
      </w:r>
      <w:r w:rsidR="00563656">
        <w:rPr>
          <w:rFonts w:ascii="Times New Roman" w:hAnsi="Times New Roman" w:cs="Times New Roman"/>
          <w:sz w:val="24"/>
          <w:szCs w:val="24"/>
        </w:rPr>
        <w:t>8</w:t>
      </w:r>
      <w:r w:rsidRPr="00615FF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791" w:rsidRDefault="00F34791" w:rsidP="00F3479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517A58" w:rsidRPr="006F0A85" w:rsidRDefault="00517A58" w:rsidP="00517A58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 xml:space="preserve">В АО «ПРЭК» разработана и утверждена приказом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90C96">
        <w:rPr>
          <w:rFonts w:ascii="Times New Roman" w:hAnsi="Times New Roman" w:cs="Times New Roman"/>
          <w:sz w:val="24"/>
          <w:szCs w:val="24"/>
        </w:rPr>
        <w:t>по регулированию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 и защите </w:t>
      </w:r>
      <w:r w:rsidRPr="006F0A85">
        <w:rPr>
          <w:rFonts w:ascii="Times New Roman" w:hAnsi="Times New Roman" w:cs="Times New Roman"/>
          <w:sz w:val="24"/>
          <w:szCs w:val="24"/>
        </w:rPr>
        <w:t xml:space="preserve">конкуренции Министерства национальной экономики Республики Казахстан по Павлодарской области «Инвестиционная программа на услуги по передаче и распределению электрической энергии на период 2016-2020 годы» с общим объемом инвестиций на сумму 13 624,6 млн. тенге, в том </w:t>
      </w:r>
      <w:r w:rsidRPr="00484FC8">
        <w:rPr>
          <w:rFonts w:ascii="Times New Roman" w:hAnsi="Times New Roman" w:cs="Times New Roman"/>
          <w:sz w:val="24"/>
          <w:szCs w:val="24"/>
        </w:rPr>
        <w:t>числе на 2018 год – 2348,0 млн. тенге.</w:t>
      </w:r>
      <w:r w:rsidRPr="006F0A85">
        <w:rPr>
          <w:rFonts w:ascii="Times New Roman" w:hAnsi="Times New Roman" w:cs="Times New Roman"/>
          <w:strike/>
          <w:sz w:val="24"/>
          <w:szCs w:val="24"/>
        </w:rPr>
        <w:t xml:space="preserve">   </w:t>
      </w:r>
    </w:p>
    <w:p w:rsidR="00517A58" w:rsidRPr="00390C96" w:rsidRDefault="00517A58" w:rsidP="00517A58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6F0A85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:rsidR="00517A58" w:rsidRPr="00390C96" w:rsidRDefault="00517A58" w:rsidP="00517A58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так же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:rsidR="00517A58" w:rsidRPr="00390C96" w:rsidRDefault="00517A58" w:rsidP="0051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разделам Программы:</w:t>
      </w:r>
    </w:p>
    <w:p w:rsidR="00517A58" w:rsidRPr="00484FC8" w:rsidRDefault="00517A58" w:rsidP="00517A58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FC8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реконструкция, модернизация и техническое перевооружение сетей 35 </w:t>
      </w:r>
      <w:proofErr w:type="spellStart"/>
      <w:r w:rsidRPr="00484F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84FC8">
        <w:rPr>
          <w:rFonts w:ascii="Times New Roman" w:hAnsi="Times New Roman" w:cs="Times New Roman"/>
          <w:sz w:val="24"/>
          <w:szCs w:val="24"/>
        </w:rPr>
        <w:t xml:space="preserve"> и выше (ПС «Северная-городская», ПС «Промышленная», ПС «Центральная-городская», ПС «Восточная-городская», ПС «Ермаковская», ПС «Потанино» ПС «</w:t>
      </w:r>
      <w:proofErr w:type="spellStart"/>
      <w:r w:rsidRPr="00484FC8">
        <w:rPr>
          <w:rFonts w:ascii="Times New Roman" w:hAnsi="Times New Roman" w:cs="Times New Roman"/>
          <w:sz w:val="24"/>
          <w:szCs w:val="24"/>
        </w:rPr>
        <w:t>Калкаман</w:t>
      </w:r>
      <w:proofErr w:type="spellEnd"/>
      <w:r w:rsidRPr="00484FC8">
        <w:rPr>
          <w:rFonts w:ascii="Times New Roman" w:hAnsi="Times New Roman" w:cs="Times New Roman"/>
          <w:sz w:val="24"/>
          <w:szCs w:val="24"/>
        </w:rPr>
        <w:t xml:space="preserve">», воздушные линии электропередачи 35 </w:t>
      </w:r>
      <w:proofErr w:type="spellStart"/>
      <w:r w:rsidRPr="00484F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84FC8">
        <w:rPr>
          <w:rFonts w:ascii="Times New Roman" w:hAnsi="Times New Roman" w:cs="Times New Roman"/>
          <w:sz w:val="24"/>
          <w:szCs w:val="24"/>
        </w:rPr>
        <w:t>).</w:t>
      </w:r>
    </w:p>
    <w:p w:rsidR="00517A58" w:rsidRDefault="00517A58" w:rsidP="00517A58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A58" w:rsidRPr="006C6FB1" w:rsidRDefault="00517A58" w:rsidP="00517A58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0C96">
        <w:rPr>
          <w:rFonts w:ascii="Times New Roman" w:hAnsi="Times New Roman" w:cs="Times New Roman"/>
          <w:sz w:val="24"/>
          <w:szCs w:val="24"/>
        </w:rPr>
        <w:t>недрение АСКУЭ</w:t>
      </w:r>
      <w:r>
        <w:rPr>
          <w:rFonts w:ascii="Times New Roman" w:hAnsi="Times New Roman" w:cs="Times New Roman"/>
          <w:sz w:val="24"/>
          <w:szCs w:val="24"/>
        </w:rPr>
        <w:t xml:space="preserve"> бытового потребителя</w:t>
      </w:r>
      <w:r w:rsidRPr="00390C96">
        <w:rPr>
          <w:rFonts w:ascii="Times New Roman" w:hAnsi="Times New Roman" w:cs="Times New Roman"/>
          <w:sz w:val="24"/>
          <w:szCs w:val="24"/>
        </w:rPr>
        <w:t>;</w:t>
      </w:r>
    </w:p>
    <w:p w:rsidR="00517A58" w:rsidRPr="00390C96" w:rsidRDefault="00517A58" w:rsidP="00517A58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:rsidR="00517A58" w:rsidRPr="00390C96" w:rsidRDefault="00517A58" w:rsidP="00517A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Ожидаемое выполнение </w:t>
      </w:r>
      <w:r w:rsidRPr="00390C96">
        <w:rPr>
          <w:rFonts w:ascii="Times New Roman" w:hAnsi="Times New Roman" w:cs="Times New Roman"/>
          <w:sz w:val="24"/>
          <w:szCs w:val="24"/>
        </w:rPr>
        <w:t>инвестици</w:t>
      </w:r>
      <w:r>
        <w:rPr>
          <w:rFonts w:ascii="Times New Roman" w:hAnsi="Times New Roman" w:cs="Times New Roman"/>
          <w:sz w:val="24"/>
          <w:szCs w:val="24"/>
        </w:rPr>
        <w:t xml:space="preserve">й за 2018 год - </w:t>
      </w:r>
      <w:r w:rsidRPr="00484FC8">
        <w:rPr>
          <w:rFonts w:ascii="Times New Roman" w:hAnsi="Times New Roman" w:cs="Times New Roman"/>
          <w:sz w:val="24"/>
          <w:szCs w:val="24"/>
        </w:rPr>
        <w:t>2367 млн. тенге.</w:t>
      </w:r>
    </w:p>
    <w:p w:rsidR="00F34791" w:rsidRPr="00863F52" w:rsidRDefault="00F34791" w:rsidP="00F3479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 монополии за отчетный период</w:t>
      </w:r>
    </w:p>
    <w:p w:rsidR="00F34791" w:rsidRPr="005F6586" w:rsidRDefault="00F34791" w:rsidP="00F3479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>
        <w:rPr>
          <w:rFonts w:ascii="Times New Roman" w:hAnsi="Times New Roman" w:cs="Times New Roman"/>
          <w:sz w:val="24"/>
        </w:rPr>
        <w:t>А</w:t>
      </w:r>
      <w:r w:rsidRPr="005F6586">
        <w:rPr>
          <w:rFonts w:ascii="Times New Roman" w:hAnsi="Times New Roman" w:cs="Times New Roman"/>
          <w:sz w:val="24"/>
        </w:rPr>
        <w:t>О «Павлодарская Распределительная Электросетевая Компания» за 201</w:t>
      </w:r>
      <w:r>
        <w:rPr>
          <w:rFonts w:ascii="Times New Roman" w:hAnsi="Times New Roman" w:cs="Times New Roman"/>
          <w:sz w:val="24"/>
        </w:rPr>
        <w:t>8</w:t>
      </w:r>
      <w:r w:rsidRPr="005F6586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6540"/>
        <w:gridCol w:w="2680"/>
      </w:tblGrid>
      <w:tr w:rsidR="00F34791" w:rsidRPr="008053A3" w:rsidTr="00CF3C9F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</w:tr>
      <w:tr w:rsidR="00F34791" w:rsidRPr="008053A3" w:rsidTr="00CF3C9F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 всего, в </w:t>
            </w:r>
            <w:proofErr w:type="spellStart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9 845 493</w:t>
            </w:r>
          </w:p>
        </w:tc>
      </w:tr>
      <w:tr w:rsidR="00F34791" w:rsidRPr="008053A3" w:rsidTr="00CF3C9F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9 106 873</w:t>
            </w:r>
          </w:p>
        </w:tc>
      </w:tr>
      <w:tr w:rsidR="00F34791" w:rsidRPr="008053A3" w:rsidTr="00CF3C9F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738 620</w:t>
            </w:r>
          </w:p>
        </w:tc>
      </w:tr>
      <w:tr w:rsidR="00F34791" w:rsidRPr="008053A3" w:rsidTr="00CF3C9F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Себестоимость всего, в </w:t>
            </w:r>
            <w:proofErr w:type="spellStart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7 451 070</w:t>
            </w:r>
          </w:p>
        </w:tc>
      </w:tr>
      <w:tr w:rsidR="00F34791" w:rsidRPr="008053A3" w:rsidTr="00CF3C9F">
        <w:trPr>
          <w:trHeight w:val="6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7 451 070</w:t>
            </w:r>
          </w:p>
        </w:tc>
      </w:tr>
      <w:tr w:rsidR="00F34791" w:rsidRPr="008053A3" w:rsidTr="00CF3C9F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708 748</w:t>
            </w:r>
          </w:p>
        </w:tc>
      </w:tr>
      <w:tr w:rsidR="00F34791" w:rsidRPr="008053A3" w:rsidTr="00CF3C9F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211 002</w:t>
            </w:r>
          </w:p>
        </w:tc>
      </w:tr>
      <w:tr w:rsidR="00F34791" w:rsidRPr="008053A3" w:rsidTr="00121CA5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340 937</w:t>
            </w:r>
          </w:p>
        </w:tc>
      </w:tr>
      <w:tr w:rsidR="00F34791" w:rsidRPr="008053A3" w:rsidTr="00121CA5">
        <w:trPr>
          <w:trHeight w:val="3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276 110</w:t>
            </w:r>
          </w:p>
        </w:tc>
      </w:tr>
      <w:tr w:rsidR="00F34791" w:rsidRPr="008053A3" w:rsidTr="00CF3C9F">
        <w:trPr>
          <w:trHeight w:val="31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-7 437</w:t>
            </w:r>
          </w:p>
        </w:tc>
      </w:tr>
      <w:tr w:rsidR="00F34791" w:rsidRPr="008053A3" w:rsidTr="00CF3C9F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91" w:rsidRPr="008053A3" w:rsidRDefault="00F34791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865 063</w:t>
            </w:r>
          </w:p>
        </w:tc>
      </w:tr>
    </w:tbl>
    <w:p w:rsidR="00F34791" w:rsidRDefault="00F34791" w:rsidP="00F3479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объемах предоставленных регулируемых услуг (товаров, работ) за отчетный период</w:t>
      </w:r>
      <w:r>
        <w:rPr>
          <w:rFonts w:ascii="Times New Roman" w:hAnsi="Times New Roman" w:cs="Times New Roman"/>
          <w:b/>
          <w:sz w:val="24"/>
        </w:rPr>
        <w:t>.</w:t>
      </w:r>
    </w:p>
    <w:p w:rsidR="00F34791" w:rsidRDefault="00F34791" w:rsidP="00F34791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Объёмы по передаче и распределению электрической энергии </w:t>
      </w:r>
      <w:r>
        <w:rPr>
          <w:rFonts w:ascii="Times New Roman" w:hAnsi="Times New Roman" w:cs="Times New Roman"/>
          <w:sz w:val="24"/>
        </w:rPr>
        <w:t xml:space="preserve">по сетям </w:t>
      </w:r>
      <w:r w:rsidRPr="005F6586">
        <w:rPr>
          <w:rFonts w:ascii="Times New Roman" w:hAnsi="Times New Roman" w:cs="Times New Roman"/>
          <w:sz w:val="24"/>
        </w:rPr>
        <w:t>АО «ПРЭК» за 201</w:t>
      </w:r>
      <w:r>
        <w:rPr>
          <w:rFonts w:ascii="Times New Roman" w:hAnsi="Times New Roman" w:cs="Times New Roman"/>
          <w:sz w:val="24"/>
        </w:rPr>
        <w:t>8</w:t>
      </w:r>
      <w:r w:rsidRPr="005F6586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:</w:t>
      </w:r>
    </w:p>
    <w:p w:rsidR="00F34791" w:rsidRPr="005F6586" w:rsidRDefault="00F34791" w:rsidP="00F347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1843"/>
        <w:gridCol w:w="1134"/>
        <w:gridCol w:w="850"/>
      </w:tblGrid>
      <w:tr w:rsidR="00517A58" w:rsidRPr="00517A58" w:rsidTr="00517A58">
        <w:trPr>
          <w:trHeight w:val="29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утвержденной тарифной смете на 2018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2018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517A58" w:rsidRPr="00517A58" w:rsidTr="00517A58">
        <w:trPr>
          <w:trHeight w:val="108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517A58" w:rsidRPr="00517A58" w:rsidTr="00517A58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Передача и распределение электроэнергии,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2 299 222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2 374 981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"ПАВЛОДАРЭНЕРГО"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Павлодарэнергосбыт</w:t>
            </w:r>
            <w:proofErr w:type="spellEnd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-1,2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"Павлодарские тепловые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-4,0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"Алюминий Казахстана"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-3,3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Экибастузэнерго</w:t>
            </w:r>
            <w:proofErr w:type="spellEnd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"ЕЭК"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-12,7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 МЭС "KEGOC"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"Каустик"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"Акбулак-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Компания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</w:t>
            </w:r>
            <w:proofErr w:type="spellEnd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LTD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A58" w:rsidRPr="00517A58" w:rsidTr="00517A5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"АРЭК-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58" w:rsidRPr="00517A58" w:rsidRDefault="00517A58" w:rsidP="0051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A58" w:rsidRPr="00517A58" w:rsidRDefault="00517A58" w:rsidP="00517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4791" w:rsidRPr="000C54B8" w:rsidRDefault="00F34791" w:rsidP="00F3479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34791" w:rsidRPr="00863F52" w:rsidRDefault="00F34791" w:rsidP="00F3479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 (товаров, работ)</w:t>
      </w:r>
    </w:p>
    <w:p w:rsidR="00F34791" w:rsidRPr="007519D8" w:rsidRDefault="00F34791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7519D8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7519D8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:rsidR="00F34791" w:rsidRPr="007519D8" w:rsidRDefault="00F34791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221 309 потребителей, в том числе:</w:t>
      </w:r>
    </w:p>
    <w:p w:rsidR="00F34791" w:rsidRPr="007519D8" w:rsidRDefault="00F34791" w:rsidP="00F34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физические лица – 212 022;</w:t>
      </w:r>
    </w:p>
    <w:p w:rsidR="00F34791" w:rsidRPr="007519D8" w:rsidRDefault="00F34791" w:rsidP="00F34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 xml:space="preserve">- юридические лица – 9 287 потребителей. </w:t>
      </w:r>
    </w:p>
    <w:p w:rsidR="00F34791" w:rsidRPr="007519D8" w:rsidRDefault="00F34791" w:rsidP="00F34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В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  <w:r w:rsidRPr="007519D8">
        <w:rPr>
          <w:rFonts w:ascii="Times New Roman" w:hAnsi="Times New Roman" w:cs="Times New Roman"/>
          <w:sz w:val="24"/>
          <w:szCs w:val="24"/>
        </w:rPr>
        <w:t xml:space="preserve">проводилась следующая работа с потребителями регулируемых услуг. </w:t>
      </w:r>
    </w:p>
    <w:p w:rsidR="00F34791" w:rsidRPr="007519D8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Всего за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7519D8">
        <w:rPr>
          <w:rFonts w:ascii="Times New Roman" w:hAnsi="Times New Roman" w:cs="Times New Roman"/>
          <w:sz w:val="24"/>
          <w:szCs w:val="24"/>
        </w:rPr>
        <w:t xml:space="preserve"> в АО «ПРЭК» поступило 601 обращени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19D8">
        <w:rPr>
          <w:rFonts w:ascii="Times New Roman" w:hAnsi="Times New Roman" w:cs="Times New Roman"/>
          <w:sz w:val="24"/>
          <w:szCs w:val="24"/>
        </w:rPr>
        <w:t xml:space="preserve"> от потребителей физических и юридических лиц, подключенных к сетям АО «ПРЭК», из них 74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19D8">
        <w:rPr>
          <w:rFonts w:ascii="Times New Roman" w:hAnsi="Times New Roman" w:cs="Times New Roman"/>
          <w:sz w:val="24"/>
          <w:szCs w:val="24"/>
        </w:rPr>
        <w:t xml:space="preserve"> по «Телефону доверия».</w:t>
      </w:r>
    </w:p>
    <w:p w:rsidR="00F34791" w:rsidRPr="007519D8" w:rsidRDefault="00F34791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В результате проведенного анализа по данным обращениям выявлено, что основной характер обращений составляют по работе структурных подразделений АО «ПРЭК» (обслуживание ПУ, перерыв в электроснабжении, отключение/подключение электроэнергии по заявлению и т.п.):</w:t>
      </w:r>
    </w:p>
    <w:p w:rsidR="00F34791" w:rsidRPr="007519D8" w:rsidRDefault="00F34791" w:rsidP="00F34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по работе структурных подразделений – 334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19D8">
        <w:rPr>
          <w:rFonts w:ascii="Times New Roman" w:hAnsi="Times New Roman" w:cs="Times New Roman"/>
          <w:sz w:val="24"/>
          <w:szCs w:val="24"/>
        </w:rPr>
        <w:t>;</w:t>
      </w:r>
    </w:p>
    <w:p w:rsidR="00F34791" w:rsidRPr="007519D8" w:rsidRDefault="00F34791" w:rsidP="00F34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несогласие с начислением – 194 обращения;</w:t>
      </w:r>
    </w:p>
    <w:p w:rsidR="00F34791" w:rsidRPr="007519D8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несогласие с перерасчетами согласно «Правилам пользования электрической энергией» - 68 обращений;</w:t>
      </w:r>
    </w:p>
    <w:p w:rsidR="00F34791" w:rsidRPr="007519D8" w:rsidRDefault="00F34791" w:rsidP="00F347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D8">
        <w:rPr>
          <w:rFonts w:ascii="Times New Roman" w:hAnsi="Times New Roman" w:cs="Times New Roman"/>
          <w:sz w:val="24"/>
          <w:szCs w:val="24"/>
        </w:rPr>
        <w:t>- неверно снятые контрольные показания счетчиков – 5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519D8">
        <w:rPr>
          <w:rFonts w:ascii="Times New Roman" w:hAnsi="Times New Roman" w:cs="Times New Roman"/>
          <w:sz w:val="24"/>
          <w:szCs w:val="24"/>
        </w:rPr>
        <w:t>.</w:t>
      </w:r>
    </w:p>
    <w:p w:rsidR="00F34791" w:rsidRPr="00362EB6" w:rsidRDefault="00F34791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B6">
        <w:rPr>
          <w:rFonts w:ascii="Times New Roman" w:hAnsi="Times New Roman" w:cs="Times New Roman"/>
          <w:sz w:val="24"/>
          <w:szCs w:val="24"/>
        </w:rPr>
        <w:t xml:space="preserve">Все обращения потребителей рассмотрены, направлены письменные ответы и приняты необходимые меры.  </w:t>
      </w:r>
    </w:p>
    <w:p w:rsidR="00F34791" w:rsidRDefault="00F34791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791" w:rsidRPr="004F3B4C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За отчётный период принято 2528 заяв</w:t>
      </w:r>
      <w:r>
        <w:rPr>
          <w:rFonts w:ascii="Times New Roman" w:hAnsi="Times New Roman"/>
          <w:sz w:val="24"/>
          <w:szCs w:val="24"/>
        </w:rPr>
        <w:t>ок</w:t>
      </w:r>
      <w:r w:rsidRPr="004F3B4C">
        <w:rPr>
          <w:rFonts w:ascii="Times New Roman" w:hAnsi="Times New Roman"/>
          <w:sz w:val="24"/>
          <w:szCs w:val="24"/>
        </w:rPr>
        <w:t xml:space="preserve"> на оформление технических условий с общей заявленной мощностью 630,6 тыс. кВт. Оформлено 2525 технических условий с мощностью 630,5 тыс. кВт. </w:t>
      </w:r>
      <w:r>
        <w:rPr>
          <w:rFonts w:ascii="Times New Roman" w:hAnsi="Times New Roman"/>
          <w:sz w:val="24"/>
          <w:szCs w:val="24"/>
        </w:rPr>
        <w:t>Три</w:t>
      </w:r>
      <w:r w:rsidRPr="004F3B4C">
        <w:rPr>
          <w:rFonts w:ascii="Times New Roman" w:hAnsi="Times New Roman"/>
          <w:sz w:val="24"/>
          <w:szCs w:val="24"/>
        </w:rPr>
        <w:t xml:space="preserve"> заявки аннулированы по письменным заявлениям от потребителей. Из оформленных технических условий выдано:</w:t>
      </w:r>
    </w:p>
    <w:p w:rsidR="00F34791" w:rsidRPr="004F3B4C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- на вновь вводимые и реконструируемые объекты 2128 шт. с мощностью 561,9 тыс. кВт;</w:t>
      </w:r>
    </w:p>
    <w:p w:rsidR="00F34791" w:rsidRPr="004F3B4C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- переоформлены с увеличением мощности 164 шт. с мощностью 32,7 тыс. кВт;</w:t>
      </w:r>
    </w:p>
    <w:p w:rsidR="00F34791" w:rsidRPr="004F3B4C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- с изменением схемы внешнего электроснабжения 220 шт. с мощностью 29,8 тыс. кВт;</w:t>
      </w:r>
    </w:p>
    <w:p w:rsidR="00F34791" w:rsidRPr="004F3B4C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 xml:space="preserve">- с изменением категории надёжности 13 шт. с мощностью 6,1 тыс. кВт; </w:t>
      </w:r>
    </w:p>
    <w:p w:rsidR="00F34791" w:rsidRPr="004F3B4C" w:rsidRDefault="00F34791" w:rsidP="00F3479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3B4C">
        <w:rPr>
          <w:rFonts w:ascii="Times New Roman" w:hAnsi="Times New Roman"/>
          <w:sz w:val="24"/>
          <w:szCs w:val="24"/>
        </w:rPr>
        <w:t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</w:t>
      </w:r>
      <w:r>
        <w:rPr>
          <w:rFonts w:ascii="Times New Roman" w:hAnsi="Times New Roman"/>
          <w:sz w:val="24"/>
          <w:szCs w:val="24"/>
        </w:rPr>
        <w:t>,</w:t>
      </w:r>
      <w:r w:rsidRPr="004F3B4C">
        <w:rPr>
          <w:rFonts w:ascii="Times New Roman" w:hAnsi="Times New Roman"/>
          <w:sz w:val="24"/>
          <w:szCs w:val="24"/>
        </w:rPr>
        <w:t xml:space="preserve"> «Ермаковская»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 </w:t>
      </w:r>
    </w:p>
    <w:p w:rsidR="00F34791" w:rsidRDefault="00F34791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52E79" w:rsidRDefault="00952E79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F3C9F" w:rsidRDefault="00CF3C9F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CF3C9F" w:rsidSect="00121CA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F3C9F" w:rsidRDefault="00CF3C9F" w:rsidP="00F34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34791" w:rsidRDefault="00F34791" w:rsidP="00F34791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2">
        <w:rPr>
          <w:rFonts w:ascii="Times New Roman" w:hAnsi="Times New Roman" w:cs="Times New Roman"/>
          <w:b/>
          <w:sz w:val="24"/>
          <w:szCs w:val="24"/>
        </w:rPr>
        <w:t>О постатейном исполнении утвержденн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ведомством уполномоченного органа тарифн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3F52">
        <w:rPr>
          <w:rFonts w:ascii="Times New Roman" w:hAnsi="Times New Roman" w:cs="Times New Roman"/>
          <w:b/>
          <w:sz w:val="24"/>
          <w:szCs w:val="24"/>
        </w:rPr>
        <w:t xml:space="preserve"> за отчетный период</w:t>
      </w:r>
      <w:r w:rsidR="00A756DE">
        <w:rPr>
          <w:rFonts w:ascii="Times New Roman" w:hAnsi="Times New Roman" w:cs="Times New Roman"/>
          <w:b/>
          <w:sz w:val="24"/>
          <w:szCs w:val="24"/>
        </w:rPr>
        <w:t>.</w:t>
      </w:r>
    </w:p>
    <w:p w:rsidR="00F34791" w:rsidRDefault="00F34791" w:rsidP="00F3479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Тарифная смета на услуги АО «Павлодарская Распределительная Электросетевая Компания» по передаче и распределению электрической энергии за 2018 год:</w:t>
      </w:r>
    </w:p>
    <w:p w:rsidR="00CF3C9F" w:rsidRDefault="00CF3C9F" w:rsidP="00CF3C9F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276"/>
        <w:gridCol w:w="1275"/>
        <w:gridCol w:w="1418"/>
        <w:gridCol w:w="1276"/>
        <w:gridCol w:w="1417"/>
        <w:gridCol w:w="1588"/>
        <w:gridCol w:w="1559"/>
      </w:tblGrid>
      <w:tr w:rsidR="00CF3C9F" w:rsidRPr="000F6C64" w:rsidTr="000372F8">
        <w:trPr>
          <w:trHeight w:val="19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Предусмотрено в утвержденной тарифной смете на 2018 год по приказу ДКРЕМ и ЗК МНЭ РК № 181-ОД от 21 ноября 2016 года (с корректировкой 2016 </w:t>
            </w:r>
            <w:proofErr w:type="gramStart"/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года)  (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действовала по 30.09.2018г)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 на 2018 год (введена в действие с 01.10.2018г)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утвержденная смета на период с 01.01.18-31.12.18г.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сложившиеся показатели тарифной сметы за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%</w:t>
            </w:r>
          </w:p>
        </w:tc>
      </w:tr>
      <w:tr w:rsidR="00CF3C9F" w:rsidRPr="000F6C64" w:rsidTr="000372F8">
        <w:trPr>
          <w:trHeight w:val="87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из расчета на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пересчете на 9 месяцев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из расчета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пересчете на 3 месяца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F3C9F" w:rsidRPr="000F6C64" w:rsidTr="000372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F3C9F" w:rsidRPr="000F6C64" w:rsidTr="000372F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6 635 496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4 976 622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6 667 661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1 666 915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6 643 537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7 304 730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CF3C9F" w:rsidRPr="000F6C64" w:rsidTr="000372F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152 031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</w:tr>
      <w:tr w:rsidR="00CF3C9F" w:rsidRPr="000F6C64" w:rsidTr="000372F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35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F3C9F" w:rsidRPr="000F6C64" w:rsidTr="000372F8">
        <w:trPr>
          <w:trHeight w:val="37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CF3C9F" w:rsidRPr="000F6C64" w:rsidTr="000372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2 448 208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1 836 156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2 418 135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604 534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2 440 690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2 579 493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CF3C9F" w:rsidRPr="000F6C64" w:rsidTr="000372F8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42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2 227 669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1 670 752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2 227 669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2 365 255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F3C9F" w:rsidRPr="000F6C64" w:rsidTr="000372F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пенсионные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283,1</w:t>
            </w:r>
          </w:p>
        </w:tc>
      </w:tr>
      <w:tr w:rsidR="00CF3C9F" w:rsidRPr="000F6C64" w:rsidTr="000372F8">
        <w:trPr>
          <w:trHeight w:val="6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CF3C9F" w:rsidRPr="000F6C64" w:rsidTr="000372F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851 739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638 804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851 739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851 739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CF3C9F" w:rsidRPr="000F6C64" w:rsidTr="000372F8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283 580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388 476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CF3C9F" w:rsidRPr="000F6C64" w:rsidTr="000372F8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7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378 107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CF3C9F" w:rsidRPr="000F6C64" w:rsidTr="000372F8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798 896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599 172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798 896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1 095 138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</w:t>
            </w:r>
          </w:p>
        </w:tc>
      </w:tr>
      <w:tr w:rsidR="00CF3C9F" w:rsidRPr="000F6C64" w:rsidTr="000372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197 429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309 558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</w:tr>
      <w:tr w:rsidR="00CF3C9F" w:rsidRPr="000F6C64" w:rsidTr="000372F8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CF3C9F" w:rsidRPr="000F6C64" w:rsidTr="000372F8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CF3C9F" w:rsidRPr="000F6C64" w:rsidTr="000372F8">
        <w:trPr>
          <w:trHeight w:val="3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CF3C9F" w:rsidRPr="000F6C64" w:rsidTr="000372F8">
        <w:trPr>
          <w:trHeight w:val="37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CF3C9F" w:rsidRPr="000F6C64" w:rsidTr="000372F8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639,8</w:t>
            </w:r>
          </w:p>
        </w:tc>
      </w:tr>
      <w:tr w:rsidR="00CF3C9F" w:rsidRPr="000F6C64" w:rsidTr="000372F8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1 819 560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1 364 670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1 711 115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1 792 449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1 753 287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-2,2</w:t>
            </w:r>
          </w:p>
        </w:tc>
      </w:tr>
      <w:tr w:rsidR="00CF3C9F" w:rsidRPr="000F6C64" w:rsidTr="000372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315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-4,7</w:t>
            </w:r>
          </w:p>
        </w:tc>
      </w:tr>
      <w:tr w:rsidR="00CF3C9F" w:rsidRPr="000F6C64" w:rsidTr="000372F8">
        <w:trPr>
          <w:trHeight w:val="315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233 170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228 698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-1,9</w:t>
            </w:r>
          </w:p>
        </w:tc>
      </w:tr>
      <w:tr w:rsidR="00CF3C9F" w:rsidRPr="000F6C64" w:rsidTr="000372F8">
        <w:trPr>
          <w:trHeight w:val="12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-3,6</w:t>
            </w:r>
          </w:p>
        </w:tc>
      </w:tr>
      <w:tr w:rsidR="00CF3C9F" w:rsidRPr="000F6C64" w:rsidTr="000372F8">
        <w:trPr>
          <w:trHeight w:val="420"/>
        </w:trPr>
        <w:tc>
          <w:tcPr>
            <w:tcW w:w="39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347 086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260 315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574 629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143 657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403 972</w:t>
            </w:r>
          </w:p>
        </w:tc>
        <w:tc>
          <w:tcPr>
            <w:tcW w:w="15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610 349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6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307 799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42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103 393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налог, социальные отчисления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CF3C9F" w:rsidRPr="000F6C64" w:rsidTr="000372F8">
        <w:trPr>
          <w:trHeight w:val="6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социальное медицинское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309,1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124,4</w:t>
            </w:r>
          </w:p>
        </w:tc>
      </w:tr>
      <w:tr w:rsidR="00CF3C9F" w:rsidRPr="000F6C64" w:rsidTr="000372F8">
        <w:trPr>
          <w:trHeight w:val="31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CF3C9F" w:rsidRPr="000F6C64" w:rsidTr="000372F8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CF3C9F" w:rsidRPr="000F6C64" w:rsidTr="000372F8">
        <w:trPr>
          <w:trHeight w:val="6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консалтинговых, аудиторских, маркетинговых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</w:t>
            </w:r>
          </w:p>
        </w:tc>
      </w:tr>
      <w:tr w:rsidR="00CF3C9F" w:rsidRPr="000F6C64" w:rsidTr="000372F8">
        <w:trPr>
          <w:trHeight w:val="3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CF3C9F" w:rsidRPr="000F6C64" w:rsidTr="000372F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96 173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47,9</w:t>
            </w:r>
          </w:p>
        </w:tc>
      </w:tr>
      <w:tr w:rsidR="00CF3C9F" w:rsidRPr="000F6C64" w:rsidTr="000372F8">
        <w:trPr>
          <w:trHeight w:val="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6 982 582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5 236 937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7 242 290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1 810 573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7 047 509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7 915 079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</w:t>
            </w:r>
          </w:p>
        </w:tc>
      </w:tr>
      <w:tr w:rsidR="00CF3C9F" w:rsidRPr="000F6C64" w:rsidTr="000372F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2 004 761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1 503 571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1 768 785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1 945 767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1 191 794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-38,7</w:t>
            </w:r>
          </w:p>
        </w:tc>
      </w:tr>
      <w:tr w:rsidR="00CF3C9F" w:rsidRPr="000F6C64" w:rsidTr="000372F8">
        <w:trPr>
          <w:trHeight w:val="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8 987 343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6 740 507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2 252 769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8 993 276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9 106 873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CF3C9F" w:rsidRPr="000F6C64" w:rsidTr="000372F8">
        <w:trPr>
          <w:trHeight w:val="440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1 711 722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2 299 222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2 374 981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CF3C9F" w:rsidRPr="000F6C64" w:rsidTr="000372F8">
        <w:trPr>
          <w:trHeight w:val="440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8 987 343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6 740 507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9 011 075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2 252 769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8 993 276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9 106 873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CF3C9F" w:rsidRPr="000F6C64" w:rsidTr="000372F8">
        <w:trPr>
          <w:trHeight w:val="4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</w:t>
            </w:r>
            <w:proofErr w:type="gramEnd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C9F" w:rsidRPr="000F6C64" w:rsidRDefault="00CF3C9F" w:rsidP="00CF3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F3C9F" w:rsidRDefault="00CF3C9F" w:rsidP="00CF3C9F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CF3C9F" w:rsidSect="00045FEE">
          <w:pgSz w:w="16838" w:h="11906" w:orient="landscape"/>
          <w:pgMar w:top="284" w:right="510" w:bottom="284" w:left="510" w:header="709" w:footer="709" w:gutter="0"/>
          <w:cols w:space="708"/>
          <w:docGrid w:linePitch="360"/>
        </w:sectPr>
      </w:pPr>
    </w:p>
    <w:p w:rsidR="00F34791" w:rsidRDefault="00F34791" w:rsidP="00F347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 xml:space="preserve">Исполнение тарифной сметы </w:t>
      </w:r>
      <w:r>
        <w:rPr>
          <w:rFonts w:ascii="Times New Roman" w:hAnsi="Times New Roman" w:cs="Times New Roman"/>
          <w:b/>
          <w:sz w:val="24"/>
        </w:rPr>
        <w:t xml:space="preserve">на услуги </w:t>
      </w:r>
      <w:r w:rsidRPr="00863F52">
        <w:rPr>
          <w:rFonts w:ascii="Times New Roman" w:hAnsi="Times New Roman" w:cs="Times New Roman"/>
          <w:b/>
          <w:sz w:val="24"/>
        </w:rPr>
        <w:t>АО «ПРЭК»</w:t>
      </w:r>
    </w:p>
    <w:p w:rsidR="00F34791" w:rsidRDefault="00F34791" w:rsidP="00F347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863F52">
        <w:rPr>
          <w:rFonts w:ascii="Times New Roman" w:hAnsi="Times New Roman" w:cs="Times New Roman"/>
          <w:b/>
          <w:sz w:val="24"/>
        </w:rPr>
        <w:t>по</w:t>
      </w:r>
      <w:proofErr w:type="gramEnd"/>
      <w:r w:rsidRPr="00863F52">
        <w:rPr>
          <w:rFonts w:ascii="Times New Roman" w:hAnsi="Times New Roman" w:cs="Times New Roman"/>
          <w:b/>
          <w:sz w:val="24"/>
        </w:rPr>
        <w:t xml:space="preserve"> передаче и распределению электрической энергии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 xml:space="preserve"> за 201</w:t>
      </w:r>
      <w:r>
        <w:rPr>
          <w:rFonts w:ascii="Times New Roman" w:hAnsi="Times New Roman" w:cs="Times New Roman"/>
          <w:b/>
          <w:sz w:val="24"/>
        </w:rPr>
        <w:t>8</w:t>
      </w:r>
      <w:r w:rsidRPr="00863F52">
        <w:rPr>
          <w:rFonts w:ascii="Times New Roman" w:hAnsi="Times New Roman" w:cs="Times New Roman"/>
          <w:b/>
          <w:sz w:val="24"/>
        </w:rPr>
        <w:t xml:space="preserve"> год.</w:t>
      </w:r>
    </w:p>
    <w:p w:rsidR="00A756DE" w:rsidRPr="00A756DE" w:rsidRDefault="00A756DE" w:rsidP="00A756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sz w:val="24"/>
          <w:szCs w:val="24"/>
        </w:rPr>
        <w:t>Доход от передачи и распределения электрической энергии составил – 9 106 873 тыс. тенге. План в утвержденной тарифной смете – 8 993 276 тыс. тенге.</w:t>
      </w:r>
    </w:p>
    <w:p w:rsidR="00A756DE" w:rsidRPr="00A756DE" w:rsidRDefault="00A756DE" w:rsidP="00A756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sz w:val="24"/>
          <w:szCs w:val="24"/>
        </w:rPr>
        <w:t>Затраты на предоставление услуг по передаче и распределению электрической энергии – 7 915 079 тыс. тенге. План в утвержденной тарифной смете – 7 047 509 тыс. тенге.</w:t>
      </w:r>
    </w:p>
    <w:p w:rsidR="00A756DE" w:rsidRPr="00A756DE" w:rsidRDefault="00A756DE" w:rsidP="00A756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56DE">
        <w:rPr>
          <w:rFonts w:ascii="Times New Roman" w:hAnsi="Times New Roman" w:cs="Times New Roman"/>
          <w:sz w:val="24"/>
          <w:szCs w:val="24"/>
        </w:rPr>
        <w:t>сновные статьи затрат:</w:t>
      </w:r>
    </w:p>
    <w:p w:rsidR="00A756DE" w:rsidRPr="00A756DE" w:rsidRDefault="00A756DE" w:rsidP="00A756DE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«Сырье и материалы». </w:t>
      </w:r>
      <w:r w:rsidRPr="00A756DE">
        <w:rPr>
          <w:rFonts w:ascii="Times New Roman" w:hAnsi="Times New Roman" w:cs="Times New Roman"/>
          <w:sz w:val="24"/>
          <w:szCs w:val="24"/>
        </w:rPr>
        <w:t>Перерасход</w:t>
      </w:r>
      <w:r w:rsidRPr="00A7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6DE">
        <w:rPr>
          <w:rFonts w:ascii="Times New Roman" w:hAnsi="Times New Roman" w:cs="Times New Roman"/>
          <w:sz w:val="24"/>
          <w:szCs w:val="24"/>
        </w:rPr>
        <w:t>в сумме 28 728 тыс. тенге.</w:t>
      </w:r>
      <w:r w:rsidRPr="00A7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6DE">
        <w:rPr>
          <w:rFonts w:ascii="Times New Roman" w:hAnsi="Times New Roman" w:cs="Times New Roman"/>
          <w:bCs/>
          <w:sz w:val="24"/>
          <w:szCs w:val="24"/>
        </w:rPr>
        <w:t xml:space="preserve">Увеличение за счет цен на материалы, т.к. утверждённые затраты занижены по сравнению с проектом. </w:t>
      </w:r>
    </w:p>
    <w:p w:rsidR="00A756DE" w:rsidRPr="00A756DE" w:rsidRDefault="00A756DE" w:rsidP="00A756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sz w:val="24"/>
          <w:szCs w:val="24"/>
        </w:rPr>
        <w:tab/>
      </w:r>
      <w:r w:rsidRPr="00A756DE">
        <w:rPr>
          <w:rFonts w:ascii="Times New Roman" w:hAnsi="Times New Roman" w:cs="Times New Roman"/>
          <w:b/>
          <w:sz w:val="24"/>
          <w:szCs w:val="24"/>
        </w:rPr>
        <w:t>Статья «Заработная плата».</w:t>
      </w:r>
      <w:r w:rsidRPr="00A756DE">
        <w:rPr>
          <w:rFonts w:ascii="Times New Roman" w:hAnsi="Times New Roman" w:cs="Times New Roman"/>
          <w:sz w:val="24"/>
          <w:szCs w:val="24"/>
        </w:rPr>
        <w:t xml:space="preserve"> Перерасход в сумме 137 586 тыс. тенге получен в связи с тем, что утвержденные затраты в тарифной смете занижены по сравнению с проектом. Соответственно перерасход по социальному налогу, социальным отчислениям составил 1 217 тыс. тенге, по обязательному социальному медицинскому страхованию 29 236 тыс. тенге и обязательным пенсионным взносам 7 324 тыс. тенге.    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«Услуги сторонних организаций». </w:t>
      </w:r>
      <w:r w:rsidRPr="00A756DE">
        <w:rPr>
          <w:rFonts w:ascii="Times New Roman" w:hAnsi="Times New Roman" w:cs="Times New Roman"/>
          <w:sz w:val="24"/>
          <w:szCs w:val="24"/>
        </w:rPr>
        <w:t>Перерасход по данной статье составил 296 242 тыс. тенге, в основном из-за увеличения цены на услуги автотранспорта. При утверждении тарифной сметы по этой статье затраты были занижены на 290 630 тыс. тенге против плановых.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«Командировки». </w:t>
      </w:r>
      <w:r w:rsidRPr="00A756DE">
        <w:rPr>
          <w:rFonts w:ascii="Times New Roman" w:hAnsi="Times New Roman" w:cs="Times New Roman"/>
          <w:sz w:val="24"/>
          <w:szCs w:val="24"/>
        </w:rPr>
        <w:t xml:space="preserve">Перерасход 15 469 тыс. тенге за счёт увеличения количества командировок для выполнения ремонтных работ. 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«Канцелярские и почтовые расходы». </w:t>
      </w:r>
      <w:r w:rsidRPr="00A756DE">
        <w:rPr>
          <w:rFonts w:ascii="Times New Roman" w:hAnsi="Times New Roman" w:cs="Times New Roman"/>
          <w:sz w:val="24"/>
          <w:szCs w:val="24"/>
        </w:rPr>
        <w:t xml:space="preserve">По данной статье перерасход составил 2 415 тыс. тенге за счёт увеличения количества бумаги формата А-4 и цены на канцелярские товары. В тарифной смете данные затраты утверждены по факту 2014 года. </w:t>
      </w:r>
      <w:r w:rsidRPr="00A7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6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«Услуги связи». </w:t>
      </w:r>
      <w:r w:rsidRPr="00A756DE">
        <w:rPr>
          <w:rFonts w:ascii="Times New Roman" w:hAnsi="Times New Roman" w:cs="Times New Roman"/>
          <w:sz w:val="24"/>
          <w:szCs w:val="24"/>
        </w:rPr>
        <w:t>По данной статье получен перерасход 5 943 тыс. тенге за счет внедрения сети передачи данных между подразделениями АО «ПРЭК».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«Поверка приборов». </w:t>
      </w:r>
      <w:r w:rsidRPr="00A756DE">
        <w:rPr>
          <w:rFonts w:ascii="Times New Roman" w:hAnsi="Times New Roman" w:cs="Times New Roman"/>
          <w:sz w:val="24"/>
          <w:szCs w:val="24"/>
        </w:rPr>
        <w:t>Перерасход составил</w:t>
      </w:r>
      <w:r w:rsidRPr="00A7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6DE">
        <w:rPr>
          <w:rFonts w:ascii="Times New Roman" w:hAnsi="Times New Roman" w:cs="Times New Roman"/>
          <w:sz w:val="24"/>
          <w:szCs w:val="24"/>
        </w:rPr>
        <w:t xml:space="preserve">2 154 тыс. тенге за счёт увеличения цены и количества поверяемых приборов. 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«Содержание зданий». </w:t>
      </w:r>
      <w:r w:rsidRPr="00A756DE">
        <w:rPr>
          <w:rFonts w:ascii="Times New Roman" w:hAnsi="Times New Roman" w:cs="Times New Roman"/>
          <w:sz w:val="24"/>
          <w:szCs w:val="24"/>
        </w:rPr>
        <w:t>Увеличение затрат 594 тыс. тенге, за счёт увеличения цены на воду. Затраты по данной статье утверждены на уровне 2014 года с коэффициентом инфляции 6%, фактически цена на хоз. воду увеличилась на 77%.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«Аренда основных фондов». </w:t>
      </w:r>
      <w:r w:rsidRPr="00A756DE">
        <w:rPr>
          <w:rFonts w:ascii="Times New Roman" w:hAnsi="Times New Roman" w:cs="Times New Roman"/>
          <w:sz w:val="24"/>
          <w:szCs w:val="24"/>
        </w:rPr>
        <w:t xml:space="preserve">Увеличение затрат на 2 960 тыс. тенге. В данной статье включены затраты на обязательные платежи в бюджет - плата за пользование земельными участками. В АО «ПРЭК» закончились сроки договоров на аренду земельных участков. В связи с переоформлением договоров на аренду земли увеличились платежи за аренду земли на 2 960 тыс. тенге по сравнению с утверждённой тарифной сметой.  </w:t>
      </w:r>
      <w:r w:rsidRPr="00A75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6DE" w:rsidRPr="00A756DE" w:rsidRDefault="00A756DE" w:rsidP="00A756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«Затраты ОТ и ТБ». </w:t>
      </w:r>
      <w:r w:rsidRPr="00A756DE">
        <w:rPr>
          <w:rFonts w:ascii="Times New Roman" w:hAnsi="Times New Roman" w:cs="Times New Roman"/>
          <w:sz w:val="24"/>
          <w:szCs w:val="24"/>
        </w:rPr>
        <w:t xml:space="preserve">По данной статье получен перерасход 21 079 тыс. тенге за счет увеличения цены на спецодежду, </w:t>
      </w:r>
      <w:proofErr w:type="spellStart"/>
      <w:r w:rsidRPr="00A756DE">
        <w:rPr>
          <w:rFonts w:ascii="Times New Roman" w:hAnsi="Times New Roman" w:cs="Times New Roman"/>
          <w:sz w:val="24"/>
          <w:szCs w:val="24"/>
        </w:rPr>
        <w:t>спецмолоко</w:t>
      </w:r>
      <w:proofErr w:type="spellEnd"/>
      <w:r w:rsidRPr="00A756DE">
        <w:rPr>
          <w:rFonts w:ascii="Times New Roman" w:hAnsi="Times New Roman" w:cs="Times New Roman"/>
          <w:sz w:val="24"/>
          <w:szCs w:val="24"/>
        </w:rPr>
        <w:t xml:space="preserve"> и материалы по охране труда. Расходы на охрану труда и технику безопасности включены в тарифную смету по нормам согласно законодательству.</w:t>
      </w:r>
    </w:p>
    <w:p w:rsidR="00A756DE" w:rsidRPr="00A756DE" w:rsidRDefault="00A756DE" w:rsidP="00A756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>Статья «Подготовка кадров»</w:t>
      </w:r>
      <w:r w:rsidRPr="00A756DE">
        <w:rPr>
          <w:rFonts w:ascii="Times New Roman" w:hAnsi="Times New Roman" w:cs="Times New Roman"/>
          <w:sz w:val="24"/>
          <w:szCs w:val="24"/>
        </w:rPr>
        <w:t xml:space="preserve">. По данной статье получен перерасход 8 648 тыс. тенге за счет необходимости обучения персонала, в том числе вновь принятого, а также аттестации и переаттестации работающего персонала. </w:t>
      </w:r>
    </w:p>
    <w:p w:rsidR="00A756DE" w:rsidRPr="00A756DE" w:rsidRDefault="00A756DE" w:rsidP="00A756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«Охрана объектов» </w:t>
      </w:r>
      <w:r w:rsidRPr="00A756DE">
        <w:rPr>
          <w:rFonts w:ascii="Times New Roman" w:hAnsi="Times New Roman" w:cs="Times New Roman"/>
          <w:sz w:val="24"/>
          <w:szCs w:val="24"/>
        </w:rPr>
        <w:t xml:space="preserve">увеличение затрат составило 13 291 тыс. тенге за счёт увеличения цены за 1 </w:t>
      </w:r>
      <w:proofErr w:type="spellStart"/>
      <w:r w:rsidRPr="00A756DE">
        <w:rPr>
          <w:rFonts w:ascii="Times New Roman" w:hAnsi="Times New Roman" w:cs="Times New Roman"/>
          <w:sz w:val="24"/>
          <w:szCs w:val="24"/>
        </w:rPr>
        <w:t>посто</w:t>
      </w:r>
      <w:proofErr w:type="spellEnd"/>
      <w:r w:rsidRPr="00A756DE">
        <w:rPr>
          <w:rFonts w:ascii="Times New Roman" w:hAnsi="Times New Roman" w:cs="Times New Roman"/>
          <w:sz w:val="24"/>
          <w:szCs w:val="24"/>
        </w:rPr>
        <w:t>/час.</w:t>
      </w:r>
    </w:p>
    <w:p w:rsidR="00A756DE" w:rsidRPr="00A756DE" w:rsidRDefault="00A756DE" w:rsidP="00A756D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 xml:space="preserve">Статья «Экспертные услуги» </w:t>
      </w:r>
      <w:r w:rsidRPr="00A756DE">
        <w:rPr>
          <w:rFonts w:ascii="Times New Roman" w:hAnsi="Times New Roman" w:cs="Times New Roman"/>
          <w:sz w:val="24"/>
          <w:szCs w:val="24"/>
        </w:rPr>
        <w:t xml:space="preserve">увеличение затрат на 19 702 тыс. тенге. В утверждённой тарифной смете не учтены обязательные затраты на проведение анализа проб маслонаполненного оборудования на предмет наличия </w:t>
      </w:r>
      <w:proofErr w:type="spellStart"/>
      <w:r w:rsidRPr="00A756DE">
        <w:rPr>
          <w:rFonts w:ascii="Times New Roman" w:hAnsi="Times New Roman" w:cs="Times New Roman"/>
          <w:sz w:val="24"/>
          <w:szCs w:val="24"/>
        </w:rPr>
        <w:t>полихлоррованных</w:t>
      </w:r>
      <w:proofErr w:type="spellEnd"/>
      <w:r w:rsidRPr="00A756DE">
        <w:rPr>
          <w:rFonts w:ascii="Times New Roman" w:hAnsi="Times New Roman" w:cs="Times New Roman"/>
          <w:sz w:val="24"/>
          <w:szCs w:val="24"/>
        </w:rPr>
        <w:t xml:space="preserve"> дифенилов (10290 единиц). На дополнительные затраты направлено 25,8 млн. тенге. </w:t>
      </w:r>
    </w:p>
    <w:p w:rsidR="00A756DE" w:rsidRPr="00121CA5" w:rsidRDefault="00A756DE" w:rsidP="00A756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b/>
          <w:sz w:val="24"/>
          <w:szCs w:val="24"/>
        </w:rPr>
        <w:t>Статья «Прочие расходы».</w:t>
      </w:r>
      <w:r w:rsidRPr="00A756DE">
        <w:rPr>
          <w:rFonts w:ascii="Times New Roman" w:hAnsi="Times New Roman" w:cs="Times New Roman"/>
          <w:sz w:val="24"/>
          <w:szCs w:val="24"/>
        </w:rPr>
        <w:t xml:space="preserve"> Увеличение затрат на 19 874 тыс. тенге. В данную статью включены расходы, которые не были утверждены в тарифной смете -  затраты по отводу земельных </w:t>
      </w:r>
      <w:r w:rsidRPr="00121CA5">
        <w:rPr>
          <w:rFonts w:ascii="Times New Roman" w:hAnsi="Times New Roman" w:cs="Times New Roman"/>
          <w:sz w:val="24"/>
          <w:szCs w:val="24"/>
        </w:rPr>
        <w:t xml:space="preserve">участков – 19 061 тыс. тенге. </w:t>
      </w:r>
    </w:p>
    <w:p w:rsidR="00121CA5" w:rsidRPr="00121CA5" w:rsidRDefault="00121CA5" w:rsidP="00121CA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A5">
        <w:rPr>
          <w:rFonts w:ascii="Times New Roman" w:hAnsi="Times New Roman" w:cs="Times New Roman"/>
          <w:sz w:val="24"/>
          <w:szCs w:val="24"/>
        </w:rPr>
        <w:tab/>
      </w:r>
      <w:r w:rsidRPr="00121CA5">
        <w:rPr>
          <w:rFonts w:ascii="Times New Roman" w:hAnsi="Times New Roman" w:cs="Times New Roman"/>
          <w:b/>
          <w:sz w:val="24"/>
          <w:szCs w:val="24"/>
        </w:rPr>
        <w:t xml:space="preserve">Общие и административные расходы. </w:t>
      </w:r>
    </w:p>
    <w:p w:rsidR="00121CA5" w:rsidRPr="00121CA5" w:rsidRDefault="00121CA5" w:rsidP="00121CA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CA5">
        <w:rPr>
          <w:rFonts w:ascii="Times New Roman" w:hAnsi="Times New Roman" w:cs="Times New Roman"/>
          <w:sz w:val="24"/>
          <w:szCs w:val="24"/>
        </w:rPr>
        <w:t>Расходы периода составили 610 349 тыс. тенге, в том числе:</w:t>
      </w:r>
    </w:p>
    <w:p w:rsidR="00121CA5" w:rsidRPr="00121CA5" w:rsidRDefault="00121CA5" w:rsidP="00121C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CA5">
        <w:rPr>
          <w:rFonts w:ascii="Times New Roman" w:hAnsi="Times New Roman" w:cs="Times New Roman"/>
          <w:sz w:val="24"/>
          <w:szCs w:val="24"/>
        </w:rPr>
        <w:tab/>
        <w:t>- Заработная плата 139 403 тыс. тенге;</w:t>
      </w:r>
    </w:p>
    <w:p w:rsidR="00121CA5" w:rsidRPr="00121CA5" w:rsidRDefault="00121CA5" w:rsidP="00121CA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CA5">
        <w:rPr>
          <w:rFonts w:ascii="Times New Roman" w:hAnsi="Times New Roman" w:cs="Times New Roman"/>
          <w:sz w:val="24"/>
          <w:szCs w:val="24"/>
        </w:rPr>
        <w:t>- Налоговые платежи и сборы 188 122 тыс. тенге;</w:t>
      </w:r>
    </w:p>
    <w:p w:rsidR="00121CA5" w:rsidRPr="00121CA5" w:rsidRDefault="00121CA5" w:rsidP="00121CA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CA5">
        <w:rPr>
          <w:rFonts w:ascii="Times New Roman" w:hAnsi="Times New Roman" w:cs="Times New Roman"/>
          <w:sz w:val="24"/>
          <w:szCs w:val="24"/>
        </w:rPr>
        <w:t>- Прочие затраты составили 140 621 тыс. тенге.</w:t>
      </w:r>
    </w:p>
    <w:p w:rsidR="00121CA5" w:rsidRPr="00121CA5" w:rsidRDefault="00121CA5" w:rsidP="00121CA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1CA5">
        <w:rPr>
          <w:rFonts w:ascii="Times New Roman" w:hAnsi="Times New Roman" w:cs="Times New Roman"/>
          <w:sz w:val="24"/>
          <w:szCs w:val="24"/>
        </w:rPr>
        <w:t>Расходы на выплату вознаграждений за кредиты 142 203 тыс. тенге.</w:t>
      </w:r>
    </w:p>
    <w:p w:rsidR="00121CA5" w:rsidRDefault="00A756DE" w:rsidP="00A756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6DE">
        <w:rPr>
          <w:rFonts w:ascii="Times New Roman" w:hAnsi="Times New Roman" w:cs="Times New Roman"/>
          <w:sz w:val="24"/>
          <w:szCs w:val="24"/>
        </w:rPr>
        <w:tab/>
      </w:r>
    </w:p>
    <w:p w:rsidR="00F34791" w:rsidRPr="002204E5" w:rsidRDefault="00F34791" w:rsidP="00F34791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2204E5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F34791" w:rsidRDefault="00F34791" w:rsidP="00F3479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:rsidR="00F34791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F6586">
        <w:rPr>
          <w:rFonts w:ascii="Times New Roman" w:hAnsi="Times New Roman" w:cs="Times New Roman"/>
          <w:sz w:val="24"/>
          <w:szCs w:val="24"/>
        </w:rPr>
        <w:t>обеспечению</w:t>
      </w:r>
      <w:proofErr w:type="gramEnd"/>
      <w:r w:rsidRPr="005F6586">
        <w:rPr>
          <w:rFonts w:ascii="Times New Roman" w:hAnsi="Times New Roman" w:cs="Times New Roman"/>
          <w:sz w:val="24"/>
          <w:szCs w:val="24"/>
        </w:rPr>
        <w:t xml:space="preserve"> надежного и бесперебойного электроснабжения потребителей</w:t>
      </w:r>
    </w:p>
    <w:p w:rsidR="00F34791" w:rsidRPr="00A13734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модернизация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оборудования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A13734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:rsidR="00F34791" w:rsidRPr="00A13734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усиление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требований к охране здоровья персонала, промышленной безопасности и снижению травматизма;</w:t>
      </w:r>
    </w:p>
    <w:p w:rsidR="00F34791" w:rsidRPr="00A13734" w:rsidRDefault="00F34791" w:rsidP="00F347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13734">
        <w:rPr>
          <w:rFonts w:ascii="Times New Roman" w:hAnsi="Times New Roman" w:cs="Times New Roman"/>
          <w:sz w:val="24"/>
        </w:rPr>
        <w:t>обучение</w:t>
      </w:r>
      <w:proofErr w:type="gramEnd"/>
      <w:r w:rsidRPr="00A13734">
        <w:rPr>
          <w:rFonts w:ascii="Times New Roman" w:hAnsi="Times New Roman" w:cs="Times New Roman"/>
          <w:sz w:val="24"/>
        </w:rPr>
        <w:t xml:space="preserve"> персонала с целью повышения профессионального уровня сотрудников;</w:t>
      </w:r>
    </w:p>
    <w:p w:rsidR="00F34791" w:rsidRDefault="00F34791" w:rsidP="00F347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F34791" w:rsidRPr="00FA561B" w:rsidRDefault="00F34791" w:rsidP="00F3479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61B">
        <w:rPr>
          <w:rFonts w:ascii="Times New Roman" w:hAnsi="Times New Roman" w:cs="Times New Roman"/>
          <w:sz w:val="24"/>
          <w:szCs w:val="24"/>
        </w:rPr>
        <w:t>Предельный уровень тарифа на услуги АО «ПРЭК» по передаче и распределению электрической энергии утвержден приказом РГУ «Департамент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области» далее РГУ «</w:t>
      </w:r>
      <w:proofErr w:type="spellStart"/>
      <w:r w:rsidRPr="00FA561B">
        <w:rPr>
          <w:rFonts w:ascii="Times New Roman" w:hAnsi="Times New Roman" w:cs="Times New Roman"/>
          <w:sz w:val="24"/>
          <w:szCs w:val="24"/>
        </w:rPr>
        <w:t>ДК</w:t>
      </w:r>
      <w:r>
        <w:rPr>
          <w:rFonts w:ascii="Times New Roman" w:hAnsi="Times New Roman" w:cs="Times New Roman"/>
          <w:sz w:val="24"/>
          <w:szCs w:val="24"/>
        </w:rPr>
        <w:t>РЕМиЗК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25 ноября 2015 года </w:t>
      </w:r>
      <w:r w:rsidRPr="00FA561B">
        <w:rPr>
          <w:rFonts w:ascii="Times New Roman" w:hAnsi="Times New Roman" w:cs="Times New Roman"/>
          <w:sz w:val="24"/>
          <w:szCs w:val="24"/>
        </w:rPr>
        <w:t>№ 174-ОД, на период с 2016 по 2020 годы и составля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561B">
        <w:rPr>
          <w:rFonts w:ascii="Times New Roman" w:hAnsi="Times New Roman" w:cs="Times New Roman"/>
          <w:sz w:val="24"/>
          <w:szCs w:val="24"/>
        </w:rPr>
        <w:t>т:</w:t>
      </w:r>
    </w:p>
    <w:p w:rsidR="00F34791" w:rsidRPr="00FA561B" w:rsidRDefault="00F34791" w:rsidP="00F3479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 - 4,225 тенге/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791" w:rsidRPr="009734C4" w:rsidRDefault="00F34791" w:rsidP="00F3479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4C4">
        <w:rPr>
          <w:rFonts w:ascii="Times New Roman" w:hAnsi="Times New Roman" w:cs="Times New Roman"/>
          <w:sz w:val="24"/>
          <w:szCs w:val="24"/>
        </w:rPr>
        <w:t>АО «ПРЭК»</w:t>
      </w:r>
      <w:r w:rsidRPr="00FA561B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1-1) пункта 1 статьи 6 Закона Республики Казахстан «О естественных монополиях» и Правилами повышения или снижения тарифов (цен, ставок сборов) или их предельных уровней на предоставляемые услуги (товары, работы), утвержденными приказом </w:t>
      </w:r>
      <w:proofErr w:type="spellStart"/>
      <w:r w:rsidRPr="00FA561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A561B">
        <w:rPr>
          <w:rFonts w:ascii="Times New Roman" w:hAnsi="Times New Roman" w:cs="Times New Roman"/>
          <w:sz w:val="24"/>
          <w:szCs w:val="24"/>
        </w:rPr>
        <w:t xml:space="preserve">. Председателя Агентства Республики Казахстан по регулированию естественных монополий от 19 марта 2005 года № 91-ОД и на основании письма РГУ «Департамента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Павлодарской области» от 20 декабря 2018 года № 2-07/3023, </w:t>
      </w:r>
      <w:r w:rsidRPr="009734C4">
        <w:rPr>
          <w:rFonts w:ascii="Times New Roman" w:hAnsi="Times New Roman" w:cs="Times New Roman"/>
          <w:sz w:val="24"/>
          <w:szCs w:val="24"/>
        </w:rPr>
        <w:t>был снижен предельный уровень тарифа на услуги по передаче и распределению электрической энергии:</w:t>
      </w:r>
    </w:p>
    <w:p w:rsidR="00F34791" w:rsidRPr="009734C4" w:rsidRDefault="00F34791" w:rsidP="00F3479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4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4C4">
        <w:rPr>
          <w:rFonts w:ascii="Times New Roman" w:hAnsi="Times New Roman" w:cs="Times New Roman"/>
          <w:sz w:val="24"/>
          <w:szCs w:val="24"/>
        </w:rPr>
        <w:t xml:space="preserve"> 2019 год с 4,225 до 4,006 тенге/</w:t>
      </w:r>
      <w:proofErr w:type="spellStart"/>
      <w:r w:rsidRPr="009734C4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734C4">
        <w:rPr>
          <w:rFonts w:ascii="Times New Roman" w:hAnsi="Times New Roman" w:cs="Times New Roman"/>
          <w:sz w:val="24"/>
          <w:szCs w:val="24"/>
        </w:rPr>
        <w:t xml:space="preserve"> (без учета НДС).</w:t>
      </w:r>
    </w:p>
    <w:p w:rsidR="004846DF" w:rsidRDefault="004846DF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615FF0" w:rsidRDefault="00615FF0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Заслушав доклад генерального директора АО «ПРЭК» у аудитории вопросов не возникло.</w:t>
      </w:r>
    </w:p>
    <w:p w:rsidR="00A13734" w:rsidRPr="00210555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3A38" w:rsidRPr="00F32752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F32752" w:rsidSect="00CF3C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D"/>
    <w:rsid w:val="0000102D"/>
    <w:rsid w:val="00003F0D"/>
    <w:rsid w:val="00011364"/>
    <w:rsid w:val="000372F8"/>
    <w:rsid w:val="000424F0"/>
    <w:rsid w:val="00045FEE"/>
    <w:rsid w:val="00054EE7"/>
    <w:rsid w:val="000C54B8"/>
    <w:rsid w:val="00121CA5"/>
    <w:rsid w:val="001F7771"/>
    <w:rsid w:val="00210555"/>
    <w:rsid w:val="002642B5"/>
    <w:rsid w:val="002B1145"/>
    <w:rsid w:val="002C2338"/>
    <w:rsid w:val="002E6C91"/>
    <w:rsid w:val="00303F3C"/>
    <w:rsid w:val="00390C96"/>
    <w:rsid w:val="003C2078"/>
    <w:rsid w:val="004140A6"/>
    <w:rsid w:val="00432757"/>
    <w:rsid w:val="0044452E"/>
    <w:rsid w:val="004846DF"/>
    <w:rsid w:val="0049703D"/>
    <w:rsid w:val="004A2B6D"/>
    <w:rsid w:val="004C43BF"/>
    <w:rsid w:val="004D2F7A"/>
    <w:rsid w:val="004D645F"/>
    <w:rsid w:val="004E2B62"/>
    <w:rsid w:val="004F4773"/>
    <w:rsid w:val="00503A38"/>
    <w:rsid w:val="005045EC"/>
    <w:rsid w:val="00517A58"/>
    <w:rsid w:val="00563656"/>
    <w:rsid w:val="00566B1E"/>
    <w:rsid w:val="00577FD4"/>
    <w:rsid w:val="005A6F7D"/>
    <w:rsid w:val="005B0561"/>
    <w:rsid w:val="005F6586"/>
    <w:rsid w:val="00607F9E"/>
    <w:rsid w:val="00615FF0"/>
    <w:rsid w:val="006232C3"/>
    <w:rsid w:val="006A71AB"/>
    <w:rsid w:val="006C6FB1"/>
    <w:rsid w:val="006D2C9E"/>
    <w:rsid w:val="006D365F"/>
    <w:rsid w:val="006F020E"/>
    <w:rsid w:val="00720273"/>
    <w:rsid w:val="0073222C"/>
    <w:rsid w:val="00745780"/>
    <w:rsid w:val="00793786"/>
    <w:rsid w:val="0079396A"/>
    <w:rsid w:val="007A522B"/>
    <w:rsid w:val="007B40DA"/>
    <w:rsid w:val="007B76BA"/>
    <w:rsid w:val="007E73AE"/>
    <w:rsid w:val="00800BF1"/>
    <w:rsid w:val="0080512E"/>
    <w:rsid w:val="00835C12"/>
    <w:rsid w:val="00837200"/>
    <w:rsid w:val="00863F52"/>
    <w:rsid w:val="00885B16"/>
    <w:rsid w:val="008D7C62"/>
    <w:rsid w:val="00952E79"/>
    <w:rsid w:val="009A095C"/>
    <w:rsid w:val="009B310E"/>
    <w:rsid w:val="009F2A07"/>
    <w:rsid w:val="00A025A5"/>
    <w:rsid w:val="00A13734"/>
    <w:rsid w:val="00A756DE"/>
    <w:rsid w:val="00A762EB"/>
    <w:rsid w:val="00AA1D6A"/>
    <w:rsid w:val="00AC49F3"/>
    <w:rsid w:val="00B42BCB"/>
    <w:rsid w:val="00B8465F"/>
    <w:rsid w:val="00BA71DA"/>
    <w:rsid w:val="00BC2049"/>
    <w:rsid w:val="00BD15BD"/>
    <w:rsid w:val="00BD4C2A"/>
    <w:rsid w:val="00BE1385"/>
    <w:rsid w:val="00BF7299"/>
    <w:rsid w:val="00C13C77"/>
    <w:rsid w:val="00C25C0A"/>
    <w:rsid w:val="00C52D56"/>
    <w:rsid w:val="00C97C4A"/>
    <w:rsid w:val="00CA15E9"/>
    <w:rsid w:val="00CA6069"/>
    <w:rsid w:val="00CF3C9F"/>
    <w:rsid w:val="00D07BF5"/>
    <w:rsid w:val="00D40FB6"/>
    <w:rsid w:val="00D84198"/>
    <w:rsid w:val="00DC221A"/>
    <w:rsid w:val="00DE5798"/>
    <w:rsid w:val="00E03D88"/>
    <w:rsid w:val="00E05E66"/>
    <w:rsid w:val="00E1074D"/>
    <w:rsid w:val="00E75D0C"/>
    <w:rsid w:val="00EA00A0"/>
    <w:rsid w:val="00EB270A"/>
    <w:rsid w:val="00EF345C"/>
    <w:rsid w:val="00F32752"/>
    <w:rsid w:val="00F34791"/>
    <w:rsid w:val="00F61363"/>
    <w:rsid w:val="00F70323"/>
    <w:rsid w:val="00F71945"/>
    <w:rsid w:val="00F74E72"/>
    <w:rsid w:val="00F9125B"/>
    <w:rsid w:val="00F9425C"/>
    <w:rsid w:val="00F96279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A756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BAF2-5320-4964-B108-CA3945D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Анна Борисовна Морозова</cp:lastModifiedBy>
  <cp:revision>2</cp:revision>
  <cp:lastPrinted>2019-04-24T11:04:00Z</cp:lastPrinted>
  <dcterms:created xsi:type="dcterms:W3CDTF">2019-04-24T11:06:00Z</dcterms:created>
  <dcterms:modified xsi:type="dcterms:W3CDTF">2019-04-24T11:06:00Z</dcterms:modified>
</cp:coreProperties>
</file>