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424606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Ежегодны</w:t>
      </w:r>
      <w:r w:rsidR="00D5098B" w:rsidRPr="004006D1">
        <w:rPr>
          <w:rStyle w:val="s0"/>
          <w:b/>
          <w:sz w:val="24"/>
          <w:szCs w:val="24"/>
        </w:rPr>
        <w:t>й</w:t>
      </w:r>
      <w:r w:rsidRPr="004006D1">
        <w:rPr>
          <w:rStyle w:val="s0"/>
          <w:b/>
          <w:sz w:val="24"/>
          <w:szCs w:val="24"/>
        </w:rPr>
        <w:t xml:space="preserve"> отчет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АО «ПАВЛОДАРЭНЕРГО»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>и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за 201</w:t>
      </w:r>
      <w:r w:rsidR="00EC656B" w:rsidRPr="00542863">
        <w:rPr>
          <w:rStyle w:val="s0"/>
          <w:b/>
          <w:sz w:val="24"/>
          <w:szCs w:val="24"/>
        </w:rPr>
        <w:t>7</w:t>
      </w:r>
      <w:r w:rsidRPr="004006D1">
        <w:rPr>
          <w:rStyle w:val="s0"/>
          <w:b/>
          <w:sz w:val="24"/>
          <w:szCs w:val="24"/>
        </w:rPr>
        <w:t xml:space="preserve"> год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</w:t>
      </w:r>
      <w:proofErr w:type="gramStart"/>
      <w:r>
        <w:rPr>
          <w:sz w:val="22"/>
          <w:szCs w:val="24"/>
        </w:rPr>
        <w:t>с</w:t>
      </w:r>
      <w:proofErr w:type="gramEnd"/>
      <w:r>
        <w:rPr>
          <w:sz w:val="22"/>
          <w:szCs w:val="24"/>
        </w:rPr>
        <w:t xml:space="preserve">: </w:t>
      </w:r>
    </w:p>
    <w:p w:rsidR="003B5889" w:rsidRDefault="003B5889" w:rsidP="003B5889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4"/>
        </w:rPr>
      </w:pPr>
      <w:r w:rsidRPr="0080553F">
        <w:rPr>
          <w:sz w:val="22"/>
          <w:szCs w:val="24"/>
        </w:rPr>
        <w:t>п.</w:t>
      </w:r>
      <w:r>
        <w:rPr>
          <w:sz w:val="22"/>
          <w:szCs w:val="24"/>
        </w:rPr>
        <w:t>21</w:t>
      </w:r>
      <w:r w:rsidRPr="0080553F">
        <w:rPr>
          <w:sz w:val="22"/>
          <w:szCs w:val="24"/>
        </w:rPr>
        <w:t xml:space="preserve"> 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Приказа Министра национальной экономики Республики Казахстан от 18 декабря 2014 года </w:t>
      </w:r>
      <w:r w:rsidRPr="0080553F">
        <w:rPr>
          <w:rStyle w:val="s1"/>
          <w:rFonts w:ascii="Times New Roman" w:hAnsi="Times New Roman" w:cs="Times New Roman"/>
          <w:sz w:val="22"/>
          <w:szCs w:val="24"/>
        </w:rPr>
        <w:t>№ 150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лицами»</w:t>
      </w:r>
      <w:r>
        <w:rPr>
          <w:rStyle w:val="s1"/>
          <w:rFonts w:ascii="Times New Roman" w:hAnsi="Times New Roman" w:cs="Times New Roman"/>
          <w:b w:val="0"/>
          <w:sz w:val="22"/>
          <w:szCs w:val="24"/>
        </w:rPr>
        <w:t>;</w:t>
      </w:r>
    </w:p>
    <w:p w:rsidR="003B5889" w:rsidRDefault="003B5889" w:rsidP="003B5889">
      <w:pPr>
        <w:pStyle w:val="a3"/>
        <w:ind w:left="1060"/>
        <w:jc w:val="both"/>
        <w:rPr>
          <w:sz w:val="24"/>
          <w:szCs w:val="24"/>
        </w:rPr>
      </w:pPr>
    </w:p>
    <w:p w:rsidR="003B5889" w:rsidRPr="00635643" w:rsidRDefault="003B5889" w:rsidP="003B5889">
      <w:pPr>
        <w:spacing w:line="288" w:lineRule="auto"/>
        <w:ind w:firstLine="40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3B5889">
        <w:rPr>
          <w:b/>
          <w:sz w:val="24"/>
          <w:szCs w:val="24"/>
          <w:u w:val="single"/>
        </w:rPr>
        <w:t>7</w:t>
      </w:r>
      <w:r w:rsidRPr="00635643">
        <w:rPr>
          <w:b/>
          <w:sz w:val="24"/>
          <w:szCs w:val="24"/>
          <w:u w:val="single"/>
        </w:rPr>
        <w:t xml:space="preserve"> апреля 201</w:t>
      </w:r>
      <w:r w:rsidRPr="003B5889">
        <w:rPr>
          <w:b/>
          <w:sz w:val="24"/>
          <w:szCs w:val="24"/>
          <w:u w:val="single"/>
        </w:rPr>
        <w:t>8</w:t>
      </w:r>
      <w:r w:rsidRPr="00635643">
        <w:rPr>
          <w:b/>
          <w:sz w:val="24"/>
          <w:szCs w:val="24"/>
          <w:u w:val="single"/>
        </w:rPr>
        <w:t xml:space="preserve"> года в 10.00 часов в </w:t>
      </w:r>
      <w:proofErr w:type="spellStart"/>
      <w:r w:rsidRPr="00635643">
        <w:rPr>
          <w:b/>
          <w:sz w:val="24"/>
          <w:szCs w:val="24"/>
          <w:u w:val="single"/>
        </w:rPr>
        <w:t>г</w:t>
      </w:r>
      <w:proofErr w:type="gramStart"/>
      <w:r w:rsidRPr="00635643">
        <w:rPr>
          <w:b/>
          <w:sz w:val="24"/>
          <w:szCs w:val="24"/>
          <w:u w:val="single"/>
        </w:rPr>
        <w:t>.П</w:t>
      </w:r>
      <w:proofErr w:type="gramEnd"/>
      <w:r w:rsidRPr="00635643">
        <w:rPr>
          <w:b/>
          <w:sz w:val="24"/>
          <w:szCs w:val="24"/>
          <w:u w:val="single"/>
        </w:rPr>
        <w:t>авлодар</w:t>
      </w:r>
      <w:r>
        <w:rPr>
          <w:b/>
          <w:sz w:val="24"/>
          <w:szCs w:val="24"/>
          <w:u w:val="single"/>
        </w:rPr>
        <w:t>е</w:t>
      </w:r>
      <w:proofErr w:type="spellEnd"/>
      <w:r w:rsidRPr="00635643">
        <w:rPr>
          <w:b/>
          <w:sz w:val="24"/>
          <w:szCs w:val="24"/>
          <w:u w:val="single"/>
        </w:rPr>
        <w:t xml:space="preserve"> по адресу </w:t>
      </w:r>
      <w:proofErr w:type="spellStart"/>
      <w:r w:rsidRPr="00635643">
        <w:rPr>
          <w:b/>
          <w:sz w:val="24"/>
          <w:szCs w:val="24"/>
          <w:u w:val="single"/>
        </w:rPr>
        <w:t>ул.Кривенко</w:t>
      </w:r>
      <w:proofErr w:type="spellEnd"/>
      <w:r w:rsidRPr="00635643">
        <w:rPr>
          <w:b/>
          <w:sz w:val="24"/>
          <w:szCs w:val="24"/>
          <w:u w:val="single"/>
        </w:rPr>
        <w:t>, 25а состоялись ежегодные слушания отчета об объемах предоставленных регулируемых услуг по производству тепловой энергии по Павлодарским ТЭЦ-3 и ТЭЦ-2 за 201</w:t>
      </w:r>
      <w:r>
        <w:rPr>
          <w:b/>
          <w:sz w:val="24"/>
          <w:szCs w:val="24"/>
          <w:u w:val="single"/>
        </w:rPr>
        <w:t>7</w:t>
      </w:r>
      <w:r w:rsidRPr="00635643">
        <w:rPr>
          <w:b/>
          <w:sz w:val="24"/>
          <w:szCs w:val="24"/>
          <w:u w:val="single"/>
        </w:rPr>
        <w:t xml:space="preserve"> год перед потребителями и иными заинтересованными лицами.</w:t>
      </w:r>
    </w:p>
    <w:p w:rsidR="003B5889" w:rsidRPr="00635643" w:rsidRDefault="003B5889" w:rsidP="003B5889">
      <w:pPr>
        <w:spacing w:line="288" w:lineRule="auto"/>
        <w:ind w:firstLine="40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27 апреля 201</w:t>
      </w:r>
      <w:r w:rsidRPr="003B5889">
        <w:rPr>
          <w:b/>
          <w:sz w:val="24"/>
          <w:szCs w:val="24"/>
          <w:u w:val="single"/>
        </w:rPr>
        <w:t>8</w:t>
      </w:r>
      <w:r w:rsidRPr="00635643">
        <w:rPr>
          <w:b/>
          <w:sz w:val="24"/>
          <w:szCs w:val="24"/>
          <w:u w:val="single"/>
        </w:rPr>
        <w:t xml:space="preserve"> года в 14.00 часов в </w:t>
      </w:r>
      <w:proofErr w:type="spellStart"/>
      <w:r w:rsidRPr="00635643">
        <w:rPr>
          <w:b/>
          <w:sz w:val="24"/>
          <w:szCs w:val="24"/>
          <w:u w:val="single"/>
        </w:rPr>
        <w:t>г</w:t>
      </w:r>
      <w:proofErr w:type="gramStart"/>
      <w:r w:rsidRPr="00635643">
        <w:rPr>
          <w:b/>
          <w:sz w:val="24"/>
          <w:szCs w:val="24"/>
          <w:u w:val="single"/>
        </w:rPr>
        <w:t>.Э</w:t>
      </w:r>
      <w:proofErr w:type="gramEnd"/>
      <w:r w:rsidRPr="00635643">
        <w:rPr>
          <w:b/>
          <w:sz w:val="24"/>
          <w:szCs w:val="24"/>
          <w:u w:val="single"/>
        </w:rPr>
        <w:t>кибастуз</w:t>
      </w:r>
      <w:r>
        <w:rPr>
          <w:b/>
          <w:sz w:val="24"/>
          <w:szCs w:val="24"/>
          <w:u w:val="single"/>
        </w:rPr>
        <w:t>е</w:t>
      </w:r>
      <w:proofErr w:type="spellEnd"/>
      <w:r w:rsidRPr="00635643">
        <w:rPr>
          <w:b/>
          <w:sz w:val="24"/>
          <w:szCs w:val="24"/>
          <w:u w:val="single"/>
        </w:rPr>
        <w:t xml:space="preserve"> по адресу </w:t>
      </w:r>
      <w:proofErr w:type="spellStart"/>
      <w:r w:rsidRPr="00635643">
        <w:rPr>
          <w:b/>
          <w:sz w:val="24"/>
          <w:szCs w:val="24"/>
          <w:u w:val="single"/>
        </w:rPr>
        <w:t>ул.М.Ауэзова</w:t>
      </w:r>
      <w:proofErr w:type="spellEnd"/>
      <w:r w:rsidRPr="00635643">
        <w:rPr>
          <w:b/>
          <w:sz w:val="24"/>
          <w:szCs w:val="24"/>
          <w:u w:val="single"/>
        </w:rPr>
        <w:t>, д.153 состоялись ежегодные слушания отчета об объемах предоставленных регулируемых услуг по производству тепловой энергии по Экибастузской ТЭЦ АО «ПАВЛОДАРЭНЕРГО» за 201</w:t>
      </w:r>
      <w:r w:rsidR="00497A1B">
        <w:rPr>
          <w:b/>
          <w:sz w:val="24"/>
          <w:szCs w:val="24"/>
          <w:u w:val="single"/>
        </w:rPr>
        <w:t>7</w:t>
      </w:r>
      <w:r w:rsidRPr="00635643">
        <w:rPr>
          <w:b/>
          <w:sz w:val="24"/>
          <w:szCs w:val="24"/>
          <w:u w:val="single"/>
        </w:rPr>
        <w:t xml:space="preserve"> год перед потребителями и иными заинтересованными лицами. </w:t>
      </w:r>
    </w:p>
    <w:p w:rsidR="005E7294" w:rsidRPr="005E7294" w:rsidRDefault="005E7294" w:rsidP="005E7294">
      <w:pPr>
        <w:jc w:val="both"/>
        <w:rPr>
          <w:bCs/>
          <w:sz w:val="22"/>
          <w:szCs w:val="24"/>
        </w:rPr>
      </w:pP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AB0B78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0736DC" w:rsidRPr="00AB0B78" w:rsidRDefault="00AB0B78" w:rsidP="000736DC">
      <w:pPr>
        <w:spacing w:line="360" w:lineRule="auto"/>
        <w:ind w:firstLine="709"/>
        <w:jc w:val="both"/>
        <w:rPr>
          <w:sz w:val="24"/>
          <w:szCs w:val="24"/>
        </w:rPr>
      </w:pPr>
      <w:r w:rsidRPr="00AB0B78">
        <w:rPr>
          <w:sz w:val="24"/>
          <w:szCs w:val="24"/>
        </w:rPr>
        <w:t>ГУ ДКРЕМ и ЗК МНЭ РК на 2017</w:t>
      </w:r>
      <w:r w:rsidR="000736DC" w:rsidRPr="00AB0B78">
        <w:rPr>
          <w:sz w:val="24"/>
          <w:szCs w:val="24"/>
        </w:rPr>
        <w:t xml:space="preserve"> год была утверждена инвестиционная программа АО «ПАВЛОДАРЭНЕРГО» по производству тепловой энергии на ТЭЦ-3, ТЭЦ-2 и ЭТЭЦ с 2016-2020 годы. Источником финансирования мероприятий инвестиционной программы являются амортизационные отчисления и прибыль в утверждённых тарифных сметах.</w:t>
      </w:r>
    </w:p>
    <w:p w:rsidR="000736DC" w:rsidRPr="00237569" w:rsidRDefault="000736DC" w:rsidP="000736DC">
      <w:pPr>
        <w:spacing w:line="360" w:lineRule="auto"/>
        <w:ind w:firstLine="709"/>
        <w:jc w:val="both"/>
        <w:rPr>
          <w:sz w:val="24"/>
          <w:szCs w:val="24"/>
        </w:rPr>
      </w:pPr>
      <w:r w:rsidRPr="00AB0B78">
        <w:rPr>
          <w:sz w:val="24"/>
          <w:szCs w:val="24"/>
        </w:rPr>
        <w:t>На 201</w:t>
      </w:r>
      <w:r w:rsidR="00AB0B78">
        <w:rPr>
          <w:sz w:val="24"/>
          <w:szCs w:val="24"/>
        </w:rPr>
        <w:t>7</w:t>
      </w:r>
      <w:r w:rsidRPr="00AB0B78">
        <w:rPr>
          <w:sz w:val="24"/>
          <w:szCs w:val="24"/>
        </w:rPr>
        <w:t xml:space="preserve"> год сумма по плану составила 1 </w:t>
      </w:r>
      <w:r w:rsidR="00AB0B78">
        <w:rPr>
          <w:sz w:val="24"/>
          <w:szCs w:val="24"/>
        </w:rPr>
        <w:t>56</w:t>
      </w:r>
      <w:r w:rsidRPr="00AB0B78">
        <w:rPr>
          <w:sz w:val="24"/>
          <w:szCs w:val="24"/>
        </w:rPr>
        <w:t>7 839 тыс.</w:t>
      </w:r>
      <w:r w:rsidR="00AB0B78">
        <w:rPr>
          <w:sz w:val="24"/>
          <w:szCs w:val="24"/>
        </w:rPr>
        <w:t xml:space="preserve"> </w:t>
      </w:r>
      <w:r w:rsidRPr="00AB0B78">
        <w:rPr>
          <w:sz w:val="24"/>
          <w:szCs w:val="24"/>
        </w:rPr>
        <w:t xml:space="preserve">тенге. </w:t>
      </w:r>
      <w:r w:rsidR="00AB0B78">
        <w:rPr>
          <w:sz w:val="24"/>
          <w:szCs w:val="24"/>
        </w:rPr>
        <w:t xml:space="preserve">Фактически за 2017 год АО «ПАВЛОДАРЭНЕРГО» выполнено мероприятий на общую сумму 1 603 924 тыс. тенге. Также дополнительно выполнены обязательства по ЭТЭЦ за 2016 год на сумму 15 818 тыс. тенге. Итого с учетом дополнительных обязательств сумма выполнения ИП в 2017 году составила 1 619 742 тыс. тенге. </w:t>
      </w:r>
    </w:p>
    <w:p w:rsidR="00D5098B" w:rsidRDefault="00D5098B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  <w:sectPr w:rsidR="00A274AF" w:rsidSect="00A274A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A274AF" w:rsidRDefault="006F75B5" w:rsidP="00D5098B">
      <w:pPr>
        <w:ind w:left="400"/>
        <w:jc w:val="both"/>
        <w:rPr>
          <w:rStyle w:val="s0"/>
          <w:sz w:val="24"/>
          <w:szCs w:val="24"/>
        </w:rPr>
        <w:sectPr w:rsidR="00A274AF" w:rsidSect="00A274AF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  <w:r w:rsidRPr="006F75B5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1270</wp:posOffset>
            </wp:positionV>
            <wp:extent cx="10611264" cy="62579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264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4AF" w:rsidRDefault="006F75B5" w:rsidP="00D5098B">
      <w:pPr>
        <w:ind w:left="400"/>
        <w:jc w:val="both"/>
        <w:rPr>
          <w:rStyle w:val="s0"/>
          <w:sz w:val="24"/>
          <w:szCs w:val="24"/>
        </w:rPr>
        <w:sectPr w:rsidR="00A274AF" w:rsidSect="00A274AF">
          <w:pgSz w:w="16838" w:h="11906" w:orient="landscape"/>
          <w:pgMar w:top="992" w:right="1134" w:bottom="567" w:left="1134" w:header="709" w:footer="709" w:gutter="0"/>
          <w:cols w:space="708"/>
          <w:docGrid w:linePitch="360"/>
        </w:sectPr>
      </w:pPr>
      <w:r w:rsidRPr="006F75B5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-163195</wp:posOffset>
            </wp:positionV>
            <wp:extent cx="10561167" cy="52292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793" cy="523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5DE" w:rsidRPr="00ED65DE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ED65DE" w:rsidRDefault="00ED65DE" w:rsidP="00A5607F">
      <w:pPr>
        <w:ind w:firstLine="709"/>
        <w:rPr>
          <w:rStyle w:val="s0"/>
          <w:sz w:val="24"/>
          <w:szCs w:val="24"/>
        </w:rPr>
      </w:pPr>
    </w:p>
    <w:p w:rsidR="00EF4585" w:rsidRDefault="00315777" w:rsidP="00EF4585">
      <w:pPr>
        <w:ind w:left="709"/>
        <w:jc w:val="center"/>
        <w:rPr>
          <w:rStyle w:val="s0"/>
          <w:sz w:val="24"/>
          <w:szCs w:val="24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 w:rsidR="001E7A16">
        <w:rPr>
          <w:rStyle w:val="s0"/>
          <w:sz w:val="24"/>
          <w:szCs w:val="24"/>
        </w:rPr>
        <w:t>и по АО «ПАВЛОДАРЭНЕРГО» за 201</w:t>
      </w:r>
      <w:r w:rsidR="00EC656B" w:rsidRPr="00EC656B">
        <w:rPr>
          <w:rStyle w:val="s0"/>
          <w:sz w:val="24"/>
          <w:szCs w:val="24"/>
        </w:rPr>
        <w:t>7</w:t>
      </w:r>
      <w:r w:rsidRPr="003F52BF">
        <w:rPr>
          <w:rStyle w:val="s0"/>
          <w:sz w:val="24"/>
          <w:szCs w:val="24"/>
        </w:rPr>
        <w:t xml:space="preserve"> г</w:t>
      </w:r>
      <w:r w:rsidR="00D5098B">
        <w:rPr>
          <w:rStyle w:val="s0"/>
          <w:sz w:val="24"/>
          <w:szCs w:val="24"/>
        </w:rPr>
        <w:t>од</w:t>
      </w:r>
      <w:r w:rsidR="00EF4585">
        <w:rPr>
          <w:rStyle w:val="s0"/>
          <w:sz w:val="24"/>
          <w:szCs w:val="24"/>
        </w:rPr>
        <w:t xml:space="preserve"> </w:t>
      </w:r>
    </w:p>
    <w:p w:rsidR="00ED65DE" w:rsidRPr="003F52BF" w:rsidRDefault="00EF4585" w:rsidP="00EF4585">
      <w:pPr>
        <w:ind w:left="4963" w:firstLine="709"/>
        <w:jc w:val="center"/>
        <w:rPr>
          <w:sz w:val="24"/>
          <w:szCs w:val="24"/>
        </w:rPr>
      </w:pPr>
      <w:r>
        <w:rPr>
          <w:rStyle w:val="s0"/>
          <w:sz w:val="24"/>
          <w:szCs w:val="24"/>
        </w:rPr>
        <w:t>(пр</w:t>
      </w:r>
      <w:r>
        <w:rPr>
          <w:sz w:val="24"/>
          <w:szCs w:val="24"/>
        </w:rPr>
        <w:t>едварительно)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5020"/>
        <w:gridCol w:w="2630"/>
      </w:tblGrid>
      <w:tr w:rsidR="00315777" w:rsidRPr="003F52BF" w:rsidTr="0026223D">
        <w:trPr>
          <w:trHeight w:val="337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7" w:rsidRPr="003F52BF" w:rsidRDefault="00315777" w:rsidP="0031577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7" w:rsidRPr="003F52BF" w:rsidRDefault="00315777" w:rsidP="0026223D">
            <w:pPr>
              <w:jc w:val="center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Сумма</w:t>
            </w:r>
            <w:r w:rsidR="0026223D">
              <w:rPr>
                <w:b/>
                <w:bCs/>
                <w:sz w:val="24"/>
                <w:szCs w:val="24"/>
              </w:rPr>
              <w:t>,</w:t>
            </w:r>
            <w:r w:rsidRPr="003F52BF">
              <w:rPr>
                <w:b/>
                <w:bCs/>
                <w:sz w:val="24"/>
                <w:szCs w:val="24"/>
              </w:rPr>
              <w:t xml:space="preserve"> тыс. тенге</w:t>
            </w:r>
          </w:p>
        </w:tc>
      </w:tr>
      <w:tr w:rsidR="00503FCE" w:rsidRPr="00EC656B" w:rsidTr="00503FCE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 всего, в </w:t>
            </w:r>
            <w:proofErr w:type="spellStart"/>
            <w:r>
              <w:rPr>
                <w:b/>
                <w:bCs/>
                <w:sz w:val="22"/>
                <w:szCs w:val="22"/>
              </w:rPr>
              <w:t>т.ч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40 769 108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Доход от реализац</w:t>
            </w:r>
            <w:proofErr w:type="gramStart"/>
            <w:r>
              <w:rPr>
                <w:sz w:val="22"/>
                <w:szCs w:val="22"/>
              </w:rPr>
              <w:t>ии э/э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31 149 030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Доход от реализации т/э</w:t>
            </w:r>
            <w:r w:rsidR="00EF4585">
              <w:rPr>
                <w:sz w:val="22"/>
                <w:szCs w:val="22"/>
              </w:rPr>
              <w:t xml:space="preserve"> с учетом </w:t>
            </w:r>
            <w:proofErr w:type="spellStart"/>
            <w:r w:rsidR="00EF4585">
              <w:rPr>
                <w:sz w:val="22"/>
                <w:szCs w:val="22"/>
              </w:rPr>
              <w:t>побоч</w:t>
            </w:r>
            <w:proofErr w:type="gramStart"/>
            <w:r w:rsidR="00EF4585">
              <w:rPr>
                <w:sz w:val="22"/>
                <w:szCs w:val="22"/>
              </w:rPr>
              <w:t>.п</w:t>
            </w:r>
            <w:proofErr w:type="gramEnd"/>
            <w:r w:rsidR="00EF4585">
              <w:rPr>
                <w:sz w:val="22"/>
                <w:szCs w:val="22"/>
              </w:rPr>
              <w:t>род</w:t>
            </w:r>
            <w:proofErr w:type="spellEnd"/>
            <w:r w:rsidR="00EF4585">
              <w:rPr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9 619 914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 прочей реализации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</w:tr>
      <w:tr w:rsidR="00503FCE" w:rsidRPr="00EC656B" w:rsidTr="00503FCE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Себестоимость товарной продукции, в </w:t>
            </w:r>
            <w:proofErr w:type="spellStart"/>
            <w:r>
              <w:rPr>
                <w:b/>
                <w:bCs/>
                <w:sz w:val="22"/>
                <w:szCs w:val="22"/>
              </w:rPr>
              <w:t>т.ч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29 392 844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по электроэнергии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20 405 463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по теплоэнергии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8 987 218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прочей продукции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</w:tr>
      <w:tr w:rsidR="00503FCE" w:rsidRPr="00EC656B" w:rsidTr="00503FCE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2 280 978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разница (убыток)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150 894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расходы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2 047 770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от неосновной деятельности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323 507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КПН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1 391 037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+,  убыток -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6 130 880</w:t>
            </w:r>
          </w:p>
        </w:tc>
      </w:tr>
    </w:tbl>
    <w:p w:rsidR="00243177" w:rsidRDefault="00243177" w:rsidP="00243177">
      <w:pPr>
        <w:jc w:val="both"/>
        <w:rPr>
          <w:sz w:val="24"/>
          <w:szCs w:val="24"/>
        </w:rPr>
      </w:pPr>
    </w:p>
    <w:p w:rsidR="002A47DF" w:rsidRPr="00ED65DE" w:rsidRDefault="00ED65DE" w:rsidP="0066389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Default="001232FA" w:rsidP="00ED65DE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>Реализация тепловой энергии по АО "ПАВЛОДАРЭНЕРГО" за 201</w:t>
      </w:r>
      <w:r w:rsidR="00EC656B" w:rsidRPr="00EC656B">
        <w:rPr>
          <w:rStyle w:val="s0"/>
          <w:sz w:val="24"/>
          <w:szCs w:val="24"/>
        </w:rPr>
        <w:t>7</w:t>
      </w:r>
      <w:r w:rsidRPr="00D5098B">
        <w:rPr>
          <w:rStyle w:val="s0"/>
          <w:sz w:val="24"/>
          <w:szCs w:val="24"/>
        </w:rPr>
        <w:t xml:space="preserve"> год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052"/>
        <w:gridCol w:w="1160"/>
        <w:gridCol w:w="1686"/>
        <w:gridCol w:w="1808"/>
        <w:gridCol w:w="1388"/>
        <w:gridCol w:w="687"/>
      </w:tblGrid>
      <w:tr w:rsidR="00BE2FB5" w:rsidRPr="003F52BF" w:rsidTr="00906AF2">
        <w:trPr>
          <w:trHeight w:val="735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D4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Ед.</w:t>
            </w:r>
          </w:p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EC656B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Предусмотрено в утвержденной тарифной смете на 201</w:t>
            </w:r>
            <w:r w:rsidR="00EC656B" w:rsidRPr="00EC656B">
              <w:rPr>
                <w:b/>
                <w:bCs/>
                <w:color w:val="auto"/>
              </w:rPr>
              <w:t>7</w:t>
            </w:r>
            <w:r w:rsidRPr="003F52BF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EC656B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Фактически сложившиеся показатели тарифной сметы за 201</w:t>
            </w:r>
            <w:r w:rsidR="00EC656B" w:rsidRPr="00EC656B">
              <w:rPr>
                <w:b/>
                <w:bCs/>
                <w:color w:val="auto"/>
              </w:rPr>
              <w:t>7</w:t>
            </w:r>
            <w:r w:rsidR="008261D6" w:rsidRPr="008261D6">
              <w:rPr>
                <w:b/>
                <w:bCs/>
                <w:color w:val="auto"/>
              </w:rPr>
              <w:t xml:space="preserve"> </w:t>
            </w:r>
            <w:r w:rsidRPr="003F52BF">
              <w:rPr>
                <w:b/>
                <w:bCs/>
                <w:color w:val="auto"/>
              </w:rPr>
              <w:t>г</w:t>
            </w:r>
            <w:r w:rsidR="008261D6">
              <w:rPr>
                <w:b/>
                <w:bCs/>
                <w:color w:val="auto"/>
              </w:rPr>
              <w:t>од</w:t>
            </w:r>
            <w:r w:rsidRPr="003F52B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отклонение</w:t>
            </w:r>
          </w:p>
        </w:tc>
      </w:tr>
      <w:tr w:rsidR="00BE2FB5" w:rsidRPr="003F52BF" w:rsidTr="00906AF2">
        <w:trPr>
          <w:trHeight w:val="407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тыс. </w:t>
            </w:r>
            <w:r w:rsidR="00180154">
              <w:rPr>
                <w:b/>
                <w:bCs/>
                <w:color w:val="auto"/>
              </w:rPr>
              <w:t>Гкал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%</w:t>
            </w:r>
          </w:p>
        </w:tc>
      </w:tr>
      <w:tr w:rsidR="00EC656B" w:rsidRPr="003F52BF" w:rsidTr="00EC656B">
        <w:trPr>
          <w:trHeight w:val="387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Default="00EC656B" w:rsidP="00180154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АО "ПАВЛОДАРЭНЕРГО", </w:t>
            </w:r>
          </w:p>
          <w:p w:rsidR="00EC656B" w:rsidRPr="003F52BF" w:rsidRDefault="00EC656B" w:rsidP="00180154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4 659,702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4 445,067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-214,635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-5%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16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609,633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727,160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117,527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19%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40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137,978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144,590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6,612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5%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3 912,091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3 573,317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-338,774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-9%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ТЭЦ-3,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2 209,048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2 268,421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59,373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3%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16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599,212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703,138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103,926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17%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40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137,978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144,590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6,612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5%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1 471,858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1 420,693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-51,165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-3%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ТЭЦ-2,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903,196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725,647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-177,549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-20%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16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10,421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24,022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13,601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131%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892,775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701,625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-191,150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-21%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ЭТЭЦ,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1 547,458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1 450,999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-96,459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-6%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1 547,458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1 450,999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-96,459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Default="00EC656B" w:rsidP="00EC656B">
            <w:pPr>
              <w:jc w:val="right"/>
            </w:pPr>
            <w:r w:rsidRPr="00320880">
              <w:t>-6%</w:t>
            </w:r>
          </w:p>
        </w:tc>
      </w:tr>
    </w:tbl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ED65DE" w:rsidRPr="00ED65DE" w:rsidRDefault="00ED65DE" w:rsidP="0026223D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3F52BF" w:rsidRDefault="003F52BF" w:rsidP="00237671">
      <w:pPr>
        <w:ind w:firstLine="709"/>
        <w:jc w:val="both"/>
        <w:rPr>
          <w:sz w:val="24"/>
          <w:szCs w:val="24"/>
        </w:rPr>
      </w:pPr>
      <w:r w:rsidRPr="003F52BF">
        <w:rPr>
          <w:sz w:val="24"/>
          <w:szCs w:val="24"/>
        </w:rPr>
        <w:t>Ежегодно с потребителями заключаются договора на поставку тепловой энергии согласно заявленных объемов. По условиям договора ежемесячно с потребителями подписываются акты на поставку тепловой энергии. В 201</w:t>
      </w:r>
      <w:r w:rsidR="001C7EB9" w:rsidRPr="001C7EB9">
        <w:rPr>
          <w:sz w:val="24"/>
          <w:szCs w:val="24"/>
        </w:rPr>
        <w:t>7</w:t>
      </w:r>
      <w:r w:rsidRPr="003F52BF">
        <w:rPr>
          <w:sz w:val="24"/>
          <w:szCs w:val="24"/>
        </w:rPr>
        <w:t xml:space="preserve"> году претензий со стороны потребителей тепловой энергии по качеству и количеству не было.</w:t>
      </w:r>
    </w:p>
    <w:p w:rsidR="00810EE0" w:rsidRDefault="00810EE0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810EE0" w:rsidSect="00810EE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B42846" w:rsidRDefault="00B42846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</w:pPr>
    </w:p>
    <w:p w:rsidR="00ED65DE" w:rsidRDefault="00ED65DE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ED65DE" w:rsidRPr="00ED65DE" w:rsidRDefault="00ED65DE" w:rsidP="00ED65DE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 xml:space="preserve"> </w:t>
      </w:r>
      <w:r w:rsidR="00810EE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постатейном исполнении утвержденных ведомством уполномоченного органа тарифных смет за отчетный период</w:t>
      </w:r>
    </w:p>
    <w:p w:rsidR="00A274AF" w:rsidRDefault="005A7344" w:rsidP="002A47DF">
      <w:pPr>
        <w:pStyle w:val="a6"/>
        <w:spacing w:line="240" w:lineRule="auto"/>
        <w:ind w:left="106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EB358D">
        <w:instrText xml:space="preserve">Excel.Sheet.12 "\\\\pvserver\\Documents\\Plan\\АО ПЭ 2015 г\\АРЕМ-2015г\\Исполнение тарифных смет за 2015г\\Для сайта исполнение\\Исполнение тарифных смет Т-3,Т-2,ЭТЭЦ за 2014г.xlsx" Лист1!R3C2:R75C13 </w:instrText>
      </w:r>
      <w:r>
        <w:instrText xml:space="preserve">\a \f 4 \h  \* MERGEFORMAT </w:instrText>
      </w:r>
      <w:r>
        <w:fldChar w:fldCharType="separate"/>
      </w:r>
    </w:p>
    <w:p w:rsidR="00B72D7D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tbl>
      <w:tblPr>
        <w:tblW w:w="158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6"/>
        <w:gridCol w:w="3868"/>
        <w:gridCol w:w="958"/>
        <w:gridCol w:w="1261"/>
        <w:gridCol w:w="1417"/>
        <w:gridCol w:w="800"/>
        <w:gridCol w:w="1327"/>
        <w:gridCol w:w="1340"/>
        <w:gridCol w:w="800"/>
        <w:gridCol w:w="1262"/>
        <w:gridCol w:w="1417"/>
        <w:gridCol w:w="800"/>
      </w:tblGrid>
      <w:tr w:rsidR="00B72D7D" w:rsidRPr="00B72D7D" w:rsidTr="009C4915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3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Ед. изм.</w:t>
            </w:r>
          </w:p>
        </w:tc>
        <w:tc>
          <w:tcPr>
            <w:tcW w:w="34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sz w:val="18"/>
                <w:szCs w:val="18"/>
              </w:rPr>
            </w:pPr>
            <w:r w:rsidRPr="00B72D7D">
              <w:rPr>
                <w:b/>
                <w:bCs/>
                <w:sz w:val="18"/>
                <w:szCs w:val="18"/>
              </w:rPr>
              <w:t>Тарифная смета ТЭЦ-3</w:t>
            </w:r>
          </w:p>
        </w:tc>
        <w:tc>
          <w:tcPr>
            <w:tcW w:w="34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sz w:val="18"/>
                <w:szCs w:val="18"/>
              </w:rPr>
            </w:pPr>
            <w:r w:rsidRPr="00B72D7D">
              <w:rPr>
                <w:b/>
                <w:bCs/>
                <w:sz w:val="18"/>
                <w:szCs w:val="18"/>
              </w:rPr>
              <w:t>Тарифная смета ТЭЦ-2</w:t>
            </w:r>
          </w:p>
        </w:tc>
        <w:tc>
          <w:tcPr>
            <w:tcW w:w="34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sz w:val="18"/>
                <w:szCs w:val="18"/>
              </w:rPr>
            </w:pPr>
            <w:r w:rsidRPr="00B72D7D">
              <w:rPr>
                <w:b/>
                <w:bCs/>
                <w:sz w:val="18"/>
                <w:szCs w:val="18"/>
              </w:rPr>
              <w:t>Тарифная смета ЭТЭЦ</w:t>
            </w:r>
          </w:p>
        </w:tc>
      </w:tr>
      <w:tr w:rsidR="00B72D7D" w:rsidRPr="00B72D7D" w:rsidTr="009C4915">
        <w:trPr>
          <w:trHeight w:val="97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54286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Предусмотрено в утвержденной тарифной смете на 201</w:t>
            </w:r>
            <w:r w:rsidR="00542863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год в пересчете на </w:t>
            </w: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факт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.о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бъем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54286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Фактически сложившиеся показатели тарифной сметы за 201</w:t>
            </w:r>
            <w:r w:rsidR="00542863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9C491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Отк</w:t>
            </w:r>
            <w:r w:rsidR="009C4915">
              <w:rPr>
                <w:b/>
                <w:bCs/>
                <w:color w:val="auto"/>
                <w:sz w:val="18"/>
                <w:szCs w:val="18"/>
              </w:rPr>
              <w:t>ло</w:t>
            </w:r>
            <w:proofErr w:type="spellEnd"/>
            <w:r w:rsidRPr="00B72D7D">
              <w:rPr>
                <w:b/>
                <w:bCs/>
                <w:color w:val="auto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54286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Предусмотрено в утвержденной тарифной смете на 201</w:t>
            </w:r>
            <w:r w:rsidR="00542863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год в пересчете на </w:t>
            </w: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факт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.о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бъем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54286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Фактически сложившиеся показатели тарифной сметы за 201</w:t>
            </w:r>
            <w:r w:rsidR="00542863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Откло</w:t>
            </w:r>
            <w:proofErr w:type="spellEnd"/>
            <w:r w:rsidRPr="00B72D7D">
              <w:rPr>
                <w:b/>
                <w:bCs/>
                <w:color w:val="auto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54286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Предусмотрено в утвержденной тарифной смете на 201</w:t>
            </w:r>
            <w:r w:rsidR="00542863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год в пересчете на </w:t>
            </w: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факт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.о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бъем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54286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Фактически сложившиеся показатели тарифной сметы за 201</w:t>
            </w:r>
            <w:r w:rsidR="00542863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Откло</w:t>
            </w:r>
            <w:proofErr w:type="spellEnd"/>
            <w:r w:rsidRPr="00B72D7D">
              <w:rPr>
                <w:b/>
                <w:bCs/>
                <w:color w:val="auto"/>
                <w:sz w:val="18"/>
                <w:szCs w:val="18"/>
              </w:rPr>
              <w:t>-нения</w:t>
            </w:r>
            <w:proofErr w:type="gramEnd"/>
          </w:p>
        </w:tc>
      </w:tr>
      <w:tr w:rsidR="00B72D7D" w:rsidRPr="00B72D7D" w:rsidTr="009C4915">
        <w:trPr>
          <w:trHeight w:val="55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B72D7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12</w:t>
            </w:r>
          </w:p>
        </w:tc>
      </w:tr>
      <w:tr w:rsidR="003C2559" w:rsidRPr="00B72D7D" w:rsidTr="009C4915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I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4 249 635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4 320 399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1 467 147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1 632 572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2 746 291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3 020 680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2 268 275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2 314 881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741 657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795 985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1 304 160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1 323 703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1.1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Сырье и материалы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234 239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249 663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375 189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366 429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1.1.1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хим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.р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еагенты</w:t>
            </w:r>
            <w:proofErr w:type="spellEnd"/>
            <w:r w:rsidRPr="009C4915">
              <w:rPr>
                <w:color w:val="auto"/>
                <w:sz w:val="18"/>
                <w:szCs w:val="18"/>
              </w:rPr>
              <w:t xml:space="preserve"> и реактивы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60 047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57 129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-4,9%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6 156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11 277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83%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7 419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7 134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-3,8%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1.1.2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вода на технологические цели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105 195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112 517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7,0%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57 060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54 360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-4,7%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311 105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296 640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-4,6%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1.1.3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материалы и услуги на эксплуатацию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68 997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80 017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16%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23 945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22 914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-4,3%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56 666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62 655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11%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1.2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Топливо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2 021 270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2 033 490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646 552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699 815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8,2%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893 126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922 954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1.2.1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уголь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1 978 776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1 992 922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0,7%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630 168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684 215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8,6%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832 095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864 469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3,9%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1.2.2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мазут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42 494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40 568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-4,5%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16 383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15 600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-4,8%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61 031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58 485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-4,2%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1.3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 ГСМ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23 072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501%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1.4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 Энергия, в </w:t>
            </w:r>
            <w:proofErr w:type="spellStart"/>
            <w:r w:rsidRPr="009C4915">
              <w:rPr>
                <w:b/>
                <w:bCs/>
                <w:color w:val="auto"/>
                <w:sz w:val="18"/>
                <w:szCs w:val="18"/>
              </w:rPr>
              <w:t>т.ч</w:t>
            </w:r>
            <w:proofErr w:type="spellEnd"/>
            <w:r w:rsidRPr="009C4915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-3,1%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-4,1%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-4,3%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1.4.1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эл. энергия  на хоз. нужды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-3,5%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4 842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4 628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-4,4%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30 685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29 275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-4,6%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1.4.2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теп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э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нергия  на хоз. нужды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-2,3%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2 991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-3,6%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-2,2%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Затраты на оплату труда, 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393 207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217 526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269 181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576 428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759 594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32%</w:t>
            </w:r>
          </w:p>
        </w:tc>
      </w:tr>
      <w:tr w:rsidR="003C2559" w:rsidRPr="00B72D7D" w:rsidTr="009C4915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заработная плата производственного персонала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302 964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355 858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17%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197 931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244 248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23%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524 502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688 000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31%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социальный налог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29 994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37 349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25%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19 595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24 932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27%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51 926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71 594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38%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Pr="00B72D7D" w:rsidRDefault="003C2559" w:rsidP="00B72D7D">
            <w:pPr>
              <w:jc w:val="center"/>
              <w:rPr>
                <w:sz w:val="18"/>
                <w:szCs w:val="18"/>
              </w:rPr>
            </w:pPr>
            <w:r w:rsidRPr="00B72D7D">
              <w:rPr>
                <w:sz w:val="18"/>
                <w:szCs w:val="18"/>
              </w:rPr>
              <w:t>2.3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Pr="009C4915" w:rsidRDefault="003C2559" w:rsidP="00B72D7D">
            <w:pPr>
              <w:rPr>
                <w:sz w:val="18"/>
                <w:szCs w:val="18"/>
              </w:rPr>
            </w:pPr>
            <w:r w:rsidRPr="009C4915">
              <w:rPr>
                <w:sz w:val="18"/>
                <w:szCs w:val="18"/>
              </w:rPr>
              <w:t xml:space="preserve">  обязательные </w:t>
            </w:r>
            <w:proofErr w:type="spellStart"/>
            <w:r w:rsidRPr="009C4915">
              <w:rPr>
                <w:sz w:val="18"/>
                <w:szCs w:val="18"/>
              </w:rPr>
              <w:t>проф</w:t>
            </w:r>
            <w:proofErr w:type="gramStart"/>
            <w:r w:rsidRPr="009C4915">
              <w:rPr>
                <w:sz w:val="18"/>
                <w:szCs w:val="18"/>
              </w:rPr>
              <w:t>.п</w:t>
            </w:r>
            <w:proofErr w:type="gramEnd"/>
            <w:r w:rsidRPr="009C4915">
              <w:rPr>
                <w:sz w:val="18"/>
                <w:szCs w:val="18"/>
              </w:rPr>
              <w:t>енс.взносы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11 577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14 059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21%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Амортизация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801 401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761 737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-4,9%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164 434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202 993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279 229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312 013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Ремонт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538 495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523 410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-2,8%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234 628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4,4%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198 798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-4,5%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Услуги сторонних организаций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122 045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54 367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170 960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22%</w:t>
            </w:r>
          </w:p>
        </w:tc>
      </w:tr>
      <w:tr w:rsidR="003C2559" w:rsidRPr="00B72D7D" w:rsidTr="009C4915">
        <w:trPr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грузовой автотранспорт, услуги механизмов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97 285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98 996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1,8%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27 792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26 933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-3,1%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74 945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75 108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0,2%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lastRenderedPageBreak/>
              <w:t>5.2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расходы на тех.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хар-ки</w:t>
            </w:r>
            <w:proofErr w:type="spellEnd"/>
            <w:r w:rsidRPr="009C4915">
              <w:rPr>
                <w:color w:val="auto"/>
                <w:sz w:val="18"/>
                <w:szCs w:val="18"/>
              </w:rPr>
              <w:t xml:space="preserve">/исследование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9 110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14 303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6 894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6 602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4 404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26 246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496%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5.3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охрана объекта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10 262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10 456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1,9%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6 899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8 817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31 811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38 057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20%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5.4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пожарно-оперативное обслуживание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5 388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9 352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74%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8 151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12 015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28 966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31 549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8,9%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Плата за эмиссии в окружающую среду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146 837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139 892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47 728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45 739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90 359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94 907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Прочие затраты, 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39 624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54 166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21 358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29 679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136 230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146 645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канцелярские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,т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ипографские</w:t>
            </w:r>
            <w:proofErr w:type="spellEnd"/>
            <w:r w:rsidRPr="009C4915">
              <w:rPr>
                <w:color w:val="auto"/>
                <w:sz w:val="18"/>
                <w:szCs w:val="18"/>
              </w:rPr>
              <w:t xml:space="preserve"> расходы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779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-1,8%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692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-3,6%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затраты по ТБ и 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6 604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6 321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-4,3%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5 284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10 340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10 865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5,1%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связь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,р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адио,телефон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16%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-1,1%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69%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поверка приборов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1 998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3 436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72%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1 894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120%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3 331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3 183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-4,5%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спец. молоко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2 636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2 568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-2,6%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1 926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1 834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3 720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5 091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37%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плата за пользование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зем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.у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частками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20 287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29 071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43%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9 350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17 005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66 316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75 387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14%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хоз. вода, стоки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7 131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11 816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66%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3 380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3 231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47 145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45 736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-3,0%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утилизация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пром</w:t>
            </w:r>
            <w:proofErr w:type="spellEnd"/>
            <w:r w:rsidRPr="009C4915">
              <w:rPr>
                <w:color w:val="auto"/>
                <w:sz w:val="18"/>
                <w:szCs w:val="18"/>
              </w:rPr>
              <w:t xml:space="preserve">. отходов, ртуть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сод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.л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4 524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5 489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21%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подпитка теплосети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-4,6%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-4,7%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7.10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 прочие  расходы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-2,3%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395%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sz w:val="18"/>
                <w:szCs w:val="18"/>
              </w:rPr>
            </w:pPr>
            <w:r w:rsidRPr="00B72D7D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Расходы периода, 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147 245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245 326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71 714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133 245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228 609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Общие административные расходы, 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146 459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244 325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71 157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132 500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136 089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226 881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- заработная плата адм. персонала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49 023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88 968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81%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38 221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67 208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76%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66 603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119 314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79%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социальный налог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4 853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9 437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94%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3 784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7 019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85%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6 594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12 362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87%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амортизация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21 948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27 274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24%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5 863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6 576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12%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налоговые платежи и сборы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40 892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66 506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63%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15 725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30 316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24 643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27 006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9,6%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командировочные расходы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1 084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1 084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569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0%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коммунальные услуги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8 211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7 947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-3,2%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2 634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3 010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10 199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9 740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-4,5%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услуги связи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2 217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244%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1 654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248%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3 838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240%</w:t>
            </w:r>
          </w:p>
        </w:tc>
      </w:tr>
      <w:tr w:rsidR="0006637C" w:rsidRPr="00B72D7D" w:rsidTr="009C491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услуги консалтинговые, аудиторские, маркетинговые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2 818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4 253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51%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1 864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3 227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5 005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7 347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47%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услуги банка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2 562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10 693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317%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1 532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7 921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417%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5 133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18 243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255%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страхование работников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2 082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6 359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205%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1 380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4 603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234%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3 907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9 550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144%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8.11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 другие расходы, 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12 342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19 587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12 335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услуги легкового транспорта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4 757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4 757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2 028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2 326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2 326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0%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канцелярские товары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1 295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99%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257%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863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157%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спец. молоко, ОТ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иТБ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-2,3%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-4,4%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-2,2%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охрана объекта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2 676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170%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материалы, услуги на эксплуатацию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3 935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7 623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94%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2 477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5 747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207%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подпитка теплосетей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-1,8%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lastRenderedPageBreak/>
              <w:t>8.18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маркетинговые услуги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464%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периодические издания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0,0%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8.20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дератизация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255%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8.21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 - прочие расходы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Расходы по реализации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1 728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III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Всего затрат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4 396 880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4 565 724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1 538 861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1 765 817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2 883 437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3 249 288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IV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Прибыль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522 146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353 302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-32%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-43 027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-269 983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-527%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-50 023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-415 875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731%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4 919 026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4 919 026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1 495 834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1 495 834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2 833 413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2 833 413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VI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Объем оказываемых услуг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6637C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тыс.</w:t>
            </w:r>
          </w:p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2 268,421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2 268,421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725,647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725,647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1 450,999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1 450,999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4 919 026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4 919 026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1 495 834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1 495 834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2 833 413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2 833 413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06637C" w:rsidRPr="00B72D7D" w:rsidTr="009C4915">
        <w:trPr>
          <w:trHeight w:val="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VII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Тариф  </w:t>
            </w:r>
            <w:r w:rsidRPr="009C4915">
              <w:rPr>
                <w:color w:val="auto"/>
                <w:sz w:val="18"/>
                <w:szCs w:val="18"/>
              </w:rPr>
              <w:t>(без НДС)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Тенге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>/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2 168,48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2 168,48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2 061,38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2 061,38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1 952,73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1 952,73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</w:tbl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  <w:sectPr w:rsidR="005A7344" w:rsidSect="005A7344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E325B2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lastRenderedPageBreak/>
        <w:t xml:space="preserve">Исполнение тарифной сметы по производству тепловой энергии </w:t>
      </w:r>
    </w:p>
    <w:p w:rsidR="00237671" w:rsidRPr="00237671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Т</w:t>
      </w:r>
      <w:r w:rsidR="005524DA">
        <w:rPr>
          <w:b/>
          <w:sz w:val="24"/>
          <w:szCs w:val="24"/>
        </w:rPr>
        <w:t>ЭЦ-3 АО «ПАВЛОДАРЭНЕРГО» за 201</w:t>
      </w:r>
      <w:r w:rsidR="001C7EB9" w:rsidRPr="001C7EB9">
        <w:rPr>
          <w:b/>
          <w:sz w:val="24"/>
          <w:szCs w:val="24"/>
        </w:rPr>
        <w:t>7</w:t>
      </w:r>
      <w:r w:rsidRPr="00237671">
        <w:rPr>
          <w:b/>
          <w:sz w:val="24"/>
          <w:szCs w:val="24"/>
        </w:rPr>
        <w:t xml:space="preserve"> г.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 w:rsidR="005524DA">
        <w:rPr>
          <w:sz w:val="24"/>
          <w:szCs w:val="24"/>
        </w:rPr>
        <w:t>4</w:t>
      </w:r>
      <w:r w:rsidR="00343D5A">
        <w:rPr>
          <w:sz w:val="24"/>
          <w:szCs w:val="24"/>
        </w:rPr>
        <w:t> 919 026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343D5A">
        <w:rPr>
          <w:sz w:val="24"/>
          <w:szCs w:val="24"/>
        </w:rPr>
        <w:t>4 542 532</w:t>
      </w:r>
      <w:r w:rsidRPr="00237671">
        <w:rPr>
          <w:sz w:val="24"/>
          <w:szCs w:val="24"/>
        </w:rPr>
        <w:t xml:space="preserve"> тыс. тенге.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 w:rsidR="00E325B2">
        <w:rPr>
          <w:sz w:val="24"/>
          <w:szCs w:val="24"/>
        </w:rPr>
        <w:t>4</w:t>
      </w:r>
      <w:r w:rsidR="00F01663">
        <w:rPr>
          <w:sz w:val="24"/>
          <w:szCs w:val="24"/>
        </w:rPr>
        <w:t> 320 399</w:t>
      </w:r>
      <w:r w:rsidRPr="00237671">
        <w:rPr>
          <w:sz w:val="24"/>
          <w:szCs w:val="24"/>
        </w:rPr>
        <w:t xml:space="preserve"> тыс. тенге. План в тарифной смете, в пересчете на фактичес</w:t>
      </w:r>
      <w:r w:rsidR="005524DA">
        <w:rPr>
          <w:sz w:val="24"/>
          <w:szCs w:val="24"/>
        </w:rPr>
        <w:t xml:space="preserve">кий объем производства </w:t>
      </w:r>
      <w:r w:rsidR="00E325B2">
        <w:rPr>
          <w:sz w:val="24"/>
          <w:szCs w:val="24"/>
        </w:rPr>
        <w:t>4</w:t>
      </w:r>
      <w:r w:rsidR="00F01663">
        <w:rPr>
          <w:sz w:val="24"/>
          <w:szCs w:val="24"/>
        </w:rPr>
        <w:t> 249 635</w:t>
      </w:r>
      <w:r w:rsidRPr="00237671">
        <w:rPr>
          <w:sz w:val="24"/>
          <w:szCs w:val="24"/>
        </w:rPr>
        <w:t xml:space="preserve"> тыс. тенге. Сложил</w:t>
      </w:r>
      <w:r w:rsidR="009253D8">
        <w:rPr>
          <w:sz w:val="24"/>
          <w:szCs w:val="24"/>
        </w:rPr>
        <w:t>ся перерасход</w:t>
      </w:r>
      <w:r w:rsidRPr="00237671">
        <w:rPr>
          <w:sz w:val="24"/>
          <w:szCs w:val="24"/>
        </w:rPr>
        <w:t xml:space="preserve"> </w:t>
      </w:r>
      <w:r w:rsidR="00F01663">
        <w:rPr>
          <w:sz w:val="24"/>
          <w:szCs w:val="24"/>
        </w:rPr>
        <w:t>70 763</w:t>
      </w:r>
      <w:r w:rsidRPr="00237671">
        <w:rPr>
          <w:sz w:val="24"/>
          <w:szCs w:val="24"/>
        </w:rPr>
        <w:t xml:space="preserve"> тыс. тенге (</w:t>
      </w:r>
      <w:r w:rsidR="00F01663">
        <w:rPr>
          <w:sz w:val="24"/>
          <w:szCs w:val="24"/>
        </w:rPr>
        <w:t>1,7</w:t>
      </w:r>
      <w:r w:rsidRPr="00237671">
        <w:rPr>
          <w:sz w:val="24"/>
          <w:szCs w:val="24"/>
        </w:rPr>
        <w:t>%). Основные статьи затрат: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«Топливо».</w:t>
      </w:r>
      <w:r w:rsidR="00E325B2">
        <w:rPr>
          <w:sz w:val="24"/>
          <w:szCs w:val="24"/>
        </w:rPr>
        <w:t xml:space="preserve"> По данной статье перерасход</w:t>
      </w:r>
      <w:r w:rsidRPr="00237671">
        <w:rPr>
          <w:sz w:val="24"/>
          <w:szCs w:val="24"/>
        </w:rPr>
        <w:t xml:space="preserve"> – </w:t>
      </w:r>
      <w:r w:rsidR="00E325B2">
        <w:rPr>
          <w:sz w:val="24"/>
          <w:szCs w:val="24"/>
        </w:rPr>
        <w:t>12 220</w:t>
      </w:r>
      <w:r w:rsidRPr="00237671">
        <w:rPr>
          <w:sz w:val="24"/>
          <w:szCs w:val="24"/>
        </w:rPr>
        <w:t xml:space="preserve"> тыс. тенге. Основной причиной </w:t>
      </w:r>
      <w:r w:rsidRPr="00233CA1">
        <w:rPr>
          <w:sz w:val="24"/>
          <w:szCs w:val="24"/>
        </w:rPr>
        <w:t>я</w:t>
      </w:r>
      <w:r w:rsidR="0094172E" w:rsidRPr="00233CA1">
        <w:rPr>
          <w:sz w:val="24"/>
          <w:szCs w:val="24"/>
        </w:rPr>
        <w:t xml:space="preserve">вляется </w:t>
      </w:r>
      <w:r w:rsidR="00E325B2">
        <w:rPr>
          <w:sz w:val="24"/>
          <w:szCs w:val="24"/>
        </w:rPr>
        <w:t xml:space="preserve">рост стоимости </w:t>
      </w:r>
      <w:r w:rsidR="0094172E" w:rsidRPr="00233CA1">
        <w:rPr>
          <w:sz w:val="24"/>
          <w:szCs w:val="24"/>
        </w:rPr>
        <w:t>угля</w:t>
      </w:r>
      <w:r w:rsidR="00AB0B78">
        <w:rPr>
          <w:sz w:val="24"/>
          <w:szCs w:val="24"/>
        </w:rPr>
        <w:t xml:space="preserve"> и ж/д тарифа</w:t>
      </w:r>
      <w:r w:rsidR="00E325B2">
        <w:rPr>
          <w:sz w:val="24"/>
          <w:szCs w:val="24"/>
        </w:rPr>
        <w:t>.</w:t>
      </w:r>
      <w:r w:rsidRPr="00237671">
        <w:rPr>
          <w:sz w:val="24"/>
          <w:szCs w:val="24"/>
        </w:rPr>
        <w:t xml:space="preserve">  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По статьям </w:t>
      </w:r>
      <w:r w:rsidRPr="00237671">
        <w:rPr>
          <w:b/>
          <w:sz w:val="24"/>
          <w:szCs w:val="24"/>
        </w:rPr>
        <w:t>«</w:t>
      </w:r>
      <w:proofErr w:type="spellStart"/>
      <w:r w:rsidRPr="00237671">
        <w:rPr>
          <w:b/>
          <w:sz w:val="24"/>
          <w:szCs w:val="24"/>
        </w:rPr>
        <w:t>Хим</w:t>
      </w:r>
      <w:proofErr w:type="gramStart"/>
      <w:r w:rsidRPr="00237671">
        <w:rPr>
          <w:b/>
          <w:sz w:val="24"/>
          <w:szCs w:val="24"/>
        </w:rPr>
        <w:t>.р</w:t>
      </w:r>
      <w:proofErr w:type="gramEnd"/>
      <w:r w:rsidRPr="00237671">
        <w:rPr>
          <w:b/>
          <w:sz w:val="24"/>
          <w:szCs w:val="24"/>
        </w:rPr>
        <w:t>еагенты</w:t>
      </w:r>
      <w:proofErr w:type="spellEnd"/>
      <w:r w:rsidRPr="00237671">
        <w:rPr>
          <w:b/>
          <w:sz w:val="24"/>
          <w:szCs w:val="24"/>
        </w:rPr>
        <w:t xml:space="preserve">», «Энергия на </w:t>
      </w:r>
      <w:proofErr w:type="spellStart"/>
      <w:r w:rsidRPr="00237671">
        <w:rPr>
          <w:b/>
          <w:sz w:val="24"/>
          <w:szCs w:val="24"/>
        </w:rPr>
        <w:t>хоз.нужды</w:t>
      </w:r>
      <w:proofErr w:type="spellEnd"/>
      <w:r w:rsidRPr="00237671">
        <w:rPr>
          <w:b/>
          <w:sz w:val="24"/>
          <w:szCs w:val="24"/>
        </w:rPr>
        <w:t xml:space="preserve">», </w:t>
      </w:r>
      <w:r w:rsidR="00E325B2">
        <w:rPr>
          <w:b/>
          <w:sz w:val="24"/>
          <w:szCs w:val="24"/>
        </w:rPr>
        <w:t xml:space="preserve">«Амортизация», </w:t>
      </w:r>
      <w:r w:rsidRPr="00237671">
        <w:rPr>
          <w:b/>
          <w:sz w:val="24"/>
          <w:szCs w:val="24"/>
        </w:rPr>
        <w:t>«Ремонты», «Плата за эмиссии»</w:t>
      </w:r>
      <w:r w:rsidRPr="00237671">
        <w:rPr>
          <w:sz w:val="24"/>
          <w:szCs w:val="24"/>
        </w:rPr>
        <w:t xml:space="preserve"> отклонения в пределах допустимых норм (до 5%).</w:t>
      </w:r>
    </w:p>
    <w:p w:rsidR="00E325B2" w:rsidRPr="0008680B" w:rsidRDefault="00237671" w:rsidP="00E325B2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«Оплата труда с отчислениями».</w:t>
      </w:r>
      <w:r w:rsidR="00422D84">
        <w:rPr>
          <w:b/>
          <w:sz w:val="24"/>
          <w:szCs w:val="24"/>
        </w:rPr>
        <w:t xml:space="preserve"> </w:t>
      </w:r>
      <w:r w:rsidR="00E325B2" w:rsidRPr="0008680B">
        <w:rPr>
          <w:sz w:val="24"/>
          <w:szCs w:val="24"/>
        </w:rPr>
        <w:t xml:space="preserve">По данной статье в утвержденной тарифной смете предусмотрено </w:t>
      </w:r>
      <w:r w:rsidR="00E325B2">
        <w:rPr>
          <w:sz w:val="24"/>
          <w:szCs w:val="24"/>
        </w:rPr>
        <w:t>332 958</w:t>
      </w:r>
      <w:r w:rsidR="00E325B2" w:rsidRPr="0008680B">
        <w:rPr>
          <w:sz w:val="24"/>
          <w:szCs w:val="24"/>
        </w:rPr>
        <w:t xml:space="preserve"> тыс. тенге, по факту </w:t>
      </w:r>
      <w:r w:rsidR="00E325B2">
        <w:rPr>
          <w:sz w:val="24"/>
          <w:szCs w:val="24"/>
        </w:rPr>
        <w:t>393 207</w:t>
      </w:r>
      <w:r w:rsidR="00E325B2" w:rsidRPr="0008680B">
        <w:rPr>
          <w:sz w:val="24"/>
          <w:szCs w:val="24"/>
        </w:rPr>
        <w:t xml:space="preserve"> тыс. тенге. Перерасход </w:t>
      </w:r>
      <w:r w:rsidR="00E325B2">
        <w:rPr>
          <w:sz w:val="24"/>
          <w:szCs w:val="24"/>
        </w:rPr>
        <w:t>60 249</w:t>
      </w:r>
      <w:r w:rsidR="00E325B2" w:rsidRPr="0008680B">
        <w:rPr>
          <w:sz w:val="24"/>
          <w:szCs w:val="24"/>
        </w:rPr>
        <w:t xml:space="preserve"> тыс. тенге. При подаче заявки на утверждение тарифов затраты на оплату труда с отчислениями были заявлены </w:t>
      </w:r>
      <w:r w:rsidR="00E325B2" w:rsidRPr="00785EDD">
        <w:rPr>
          <w:sz w:val="24"/>
          <w:szCs w:val="24"/>
        </w:rPr>
        <w:t>в сумме 402 441 тыс. тенге, средняя заработная плата была принята в размере 129 867 тенге</w:t>
      </w:r>
      <w:r w:rsidR="00E325B2" w:rsidRPr="0008680B">
        <w:rPr>
          <w:sz w:val="24"/>
          <w:szCs w:val="24"/>
        </w:rPr>
        <w:t xml:space="preserve"> на одного работника. В </w:t>
      </w:r>
      <w:r w:rsidR="00E325B2" w:rsidRPr="008D2901">
        <w:rPr>
          <w:sz w:val="24"/>
          <w:szCs w:val="24"/>
        </w:rPr>
        <w:t xml:space="preserve">утвержденном тарифе средняя заработная плата составила </w:t>
      </w:r>
      <w:r w:rsidR="00E325B2" w:rsidRPr="00E156BB">
        <w:rPr>
          <w:sz w:val="24"/>
          <w:szCs w:val="24"/>
        </w:rPr>
        <w:t>105 245</w:t>
      </w:r>
      <w:r w:rsidR="00E325B2" w:rsidRPr="008D2901">
        <w:rPr>
          <w:sz w:val="24"/>
          <w:szCs w:val="24"/>
        </w:rPr>
        <w:t xml:space="preserve"> тенге. </w:t>
      </w:r>
      <w:r w:rsidR="00E325B2" w:rsidRPr="00AE477D">
        <w:rPr>
          <w:sz w:val="24"/>
          <w:szCs w:val="24"/>
        </w:rPr>
        <w:t xml:space="preserve">По факту средняя заработная плата </w:t>
      </w:r>
      <w:r w:rsidR="00E325B2">
        <w:rPr>
          <w:sz w:val="24"/>
          <w:szCs w:val="24"/>
        </w:rPr>
        <w:t>работников</w:t>
      </w:r>
      <w:r w:rsidR="00E325B2" w:rsidRPr="00AE477D">
        <w:rPr>
          <w:sz w:val="24"/>
          <w:szCs w:val="24"/>
        </w:rPr>
        <w:t xml:space="preserve"> ТЭЦ-3 за 201</w:t>
      </w:r>
      <w:r w:rsidR="00E325B2">
        <w:rPr>
          <w:sz w:val="24"/>
          <w:szCs w:val="24"/>
        </w:rPr>
        <w:t>7</w:t>
      </w:r>
      <w:r w:rsidR="00E325B2" w:rsidRPr="00AE477D">
        <w:rPr>
          <w:sz w:val="24"/>
          <w:szCs w:val="24"/>
        </w:rPr>
        <w:t xml:space="preserve"> год составила </w:t>
      </w:r>
      <w:r w:rsidR="00E325B2">
        <w:rPr>
          <w:sz w:val="24"/>
          <w:szCs w:val="24"/>
        </w:rPr>
        <w:t>127 943</w:t>
      </w:r>
      <w:r w:rsidR="00E325B2" w:rsidRPr="00AE477D">
        <w:rPr>
          <w:sz w:val="24"/>
          <w:szCs w:val="24"/>
        </w:rPr>
        <w:t xml:space="preserve"> тенге</w:t>
      </w:r>
      <w:r w:rsidR="00E325B2">
        <w:rPr>
          <w:sz w:val="24"/>
          <w:szCs w:val="24"/>
        </w:rPr>
        <w:t xml:space="preserve">. </w:t>
      </w:r>
      <w:r w:rsidR="00E325B2" w:rsidRPr="008D2901">
        <w:rPr>
          <w:sz w:val="24"/>
          <w:szCs w:val="24"/>
        </w:rPr>
        <w:t xml:space="preserve"> Согласно статистически</w:t>
      </w:r>
      <w:r w:rsidR="00E325B2">
        <w:rPr>
          <w:sz w:val="24"/>
          <w:szCs w:val="24"/>
        </w:rPr>
        <w:t>м</w:t>
      </w:r>
      <w:r w:rsidR="00E325B2" w:rsidRPr="008D2901">
        <w:rPr>
          <w:sz w:val="24"/>
          <w:szCs w:val="24"/>
        </w:rPr>
        <w:t xml:space="preserve"> данны</w:t>
      </w:r>
      <w:r w:rsidR="00E325B2">
        <w:rPr>
          <w:sz w:val="24"/>
          <w:szCs w:val="24"/>
        </w:rPr>
        <w:t>м</w:t>
      </w:r>
      <w:r w:rsidR="00E325B2" w:rsidRPr="008D2901">
        <w:rPr>
          <w:sz w:val="24"/>
          <w:szCs w:val="24"/>
        </w:rPr>
        <w:t xml:space="preserve"> за 201</w:t>
      </w:r>
      <w:r w:rsidR="00E325B2">
        <w:rPr>
          <w:sz w:val="24"/>
          <w:szCs w:val="24"/>
        </w:rPr>
        <w:t>7</w:t>
      </w:r>
      <w:r w:rsidR="00E325B2" w:rsidRPr="008D2901">
        <w:rPr>
          <w:sz w:val="24"/>
          <w:szCs w:val="24"/>
        </w:rPr>
        <w:t xml:space="preserve"> год средняя заработная плата по промышленным предприятиям Павлодарской области </w:t>
      </w:r>
      <w:r w:rsidR="00E325B2" w:rsidRPr="00690A63">
        <w:rPr>
          <w:sz w:val="24"/>
          <w:szCs w:val="24"/>
        </w:rPr>
        <w:t>– 172 361</w:t>
      </w:r>
      <w:r w:rsidR="00E325B2" w:rsidRPr="008D2901">
        <w:rPr>
          <w:sz w:val="24"/>
          <w:szCs w:val="24"/>
        </w:rPr>
        <w:t xml:space="preserve"> тенге. Для предотвращения текучести кадров и сохранения уровня</w:t>
      </w:r>
      <w:r w:rsidR="00E325B2" w:rsidRPr="0008680B">
        <w:rPr>
          <w:sz w:val="24"/>
          <w:szCs w:val="24"/>
        </w:rPr>
        <w:t xml:space="preserve"> заработной платы АО «ПАВЛОДАРЭНЕРГО» вынуждено нести затраты по заработной плате выше учтенных в тарифной смете.</w:t>
      </w:r>
    </w:p>
    <w:p w:rsidR="00237671" w:rsidRPr="00237671" w:rsidRDefault="00237671" w:rsidP="00237671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сторонних организаций». </w:t>
      </w:r>
      <w:r w:rsidRPr="00237671">
        <w:rPr>
          <w:sz w:val="24"/>
          <w:szCs w:val="24"/>
        </w:rPr>
        <w:t xml:space="preserve">По данной статье сложился перерасход в сумме </w:t>
      </w:r>
      <w:r w:rsidR="00E325B2">
        <w:rPr>
          <w:sz w:val="24"/>
          <w:szCs w:val="24"/>
        </w:rPr>
        <w:t>11 062</w:t>
      </w:r>
      <w:r w:rsidRPr="00237671">
        <w:rPr>
          <w:sz w:val="24"/>
          <w:szCs w:val="24"/>
        </w:rPr>
        <w:t xml:space="preserve"> тыс. тенге. Основной причиной перерасхода послужили затраты на </w:t>
      </w:r>
      <w:r w:rsidR="00E325B2">
        <w:rPr>
          <w:sz w:val="24"/>
          <w:szCs w:val="24"/>
        </w:rPr>
        <w:t>технические характеристики и пожарно-оперативное обслуживание</w:t>
      </w:r>
      <w:r w:rsidR="00F01663">
        <w:rPr>
          <w:sz w:val="24"/>
          <w:szCs w:val="24"/>
        </w:rPr>
        <w:t xml:space="preserve">, вследствие </w:t>
      </w:r>
      <w:r w:rsidR="00F01663" w:rsidRPr="00237671">
        <w:rPr>
          <w:sz w:val="24"/>
          <w:szCs w:val="24"/>
        </w:rPr>
        <w:t>удорожани</w:t>
      </w:r>
      <w:r w:rsidR="00F01663">
        <w:rPr>
          <w:sz w:val="24"/>
          <w:szCs w:val="24"/>
        </w:rPr>
        <w:t>я</w:t>
      </w:r>
      <w:r w:rsidR="00F01663" w:rsidRPr="00237671">
        <w:rPr>
          <w:sz w:val="24"/>
          <w:szCs w:val="24"/>
        </w:rPr>
        <w:t xml:space="preserve"> стоимости услуг.</w:t>
      </w:r>
      <w:r w:rsidRPr="00237671">
        <w:rPr>
          <w:sz w:val="24"/>
          <w:szCs w:val="24"/>
        </w:rPr>
        <w:t xml:space="preserve"> </w:t>
      </w:r>
    </w:p>
    <w:p w:rsidR="00237671" w:rsidRPr="00237671" w:rsidRDefault="00237671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Расходы периода.</w:t>
      </w:r>
      <w:r w:rsidRPr="00237671">
        <w:rPr>
          <w:sz w:val="24"/>
          <w:szCs w:val="24"/>
        </w:rPr>
        <w:t xml:space="preserve"> В целом по расходам периода сложился перерасход на сумму </w:t>
      </w:r>
      <w:r w:rsidR="00E325B2">
        <w:rPr>
          <w:sz w:val="24"/>
          <w:szCs w:val="24"/>
        </w:rPr>
        <w:t>98 081</w:t>
      </w:r>
      <w:r w:rsidRPr="00237671">
        <w:rPr>
          <w:sz w:val="24"/>
          <w:szCs w:val="24"/>
        </w:rPr>
        <w:t xml:space="preserve"> тыс. тенге, в том числе по общим административным расходам </w:t>
      </w:r>
      <w:r w:rsidR="00E325B2">
        <w:rPr>
          <w:sz w:val="24"/>
          <w:szCs w:val="24"/>
        </w:rPr>
        <w:t xml:space="preserve">97 866 </w:t>
      </w:r>
      <w:r w:rsidRPr="00237671">
        <w:rPr>
          <w:sz w:val="24"/>
          <w:szCs w:val="24"/>
        </w:rPr>
        <w:t xml:space="preserve">тыс. тенге, по расходам по реализации – </w:t>
      </w:r>
      <w:r w:rsidR="00E325B2">
        <w:rPr>
          <w:sz w:val="24"/>
          <w:szCs w:val="24"/>
        </w:rPr>
        <w:t>215</w:t>
      </w:r>
      <w:r w:rsidR="00233CA1">
        <w:rPr>
          <w:sz w:val="24"/>
          <w:szCs w:val="24"/>
        </w:rPr>
        <w:t xml:space="preserve"> </w:t>
      </w:r>
      <w:r w:rsidRPr="00237671">
        <w:rPr>
          <w:sz w:val="24"/>
          <w:szCs w:val="24"/>
        </w:rPr>
        <w:t>тыс. тенге.</w:t>
      </w:r>
    </w:p>
    <w:p w:rsidR="00237671" w:rsidRDefault="00F1776A" w:rsidP="00233CA1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37671" w:rsidRPr="00237671">
        <w:rPr>
          <w:b/>
          <w:sz w:val="24"/>
          <w:szCs w:val="24"/>
        </w:rPr>
        <w:t>тать</w:t>
      </w:r>
      <w:r>
        <w:rPr>
          <w:b/>
          <w:sz w:val="24"/>
          <w:szCs w:val="24"/>
        </w:rPr>
        <w:t>я</w:t>
      </w:r>
      <w:r w:rsidR="00237671" w:rsidRPr="00237671">
        <w:rPr>
          <w:b/>
          <w:sz w:val="24"/>
          <w:szCs w:val="24"/>
        </w:rPr>
        <w:t xml:space="preserve"> «Оплата труда с отчислениями»</w:t>
      </w:r>
      <w:r w:rsidR="00EB3290">
        <w:rPr>
          <w:b/>
          <w:sz w:val="24"/>
          <w:szCs w:val="24"/>
        </w:rPr>
        <w:t xml:space="preserve"> </w:t>
      </w:r>
      <w:r w:rsidR="00EB3290" w:rsidRPr="00237671">
        <w:rPr>
          <w:sz w:val="24"/>
          <w:szCs w:val="24"/>
        </w:rPr>
        <w:t>административного персонала</w:t>
      </w:r>
      <w:r w:rsidR="00EB3290">
        <w:rPr>
          <w:sz w:val="24"/>
          <w:szCs w:val="24"/>
        </w:rPr>
        <w:t>.</w:t>
      </w:r>
      <w:r w:rsidR="00237671" w:rsidRPr="00237671">
        <w:rPr>
          <w:b/>
          <w:sz w:val="24"/>
          <w:szCs w:val="24"/>
        </w:rPr>
        <w:t xml:space="preserve"> </w:t>
      </w:r>
      <w:r w:rsidR="00237671" w:rsidRPr="00237671">
        <w:rPr>
          <w:sz w:val="24"/>
          <w:szCs w:val="24"/>
        </w:rPr>
        <w:t xml:space="preserve">Перерасход в сумме </w:t>
      </w:r>
      <w:r w:rsidR="00E325B2">
        <w:rPr>
          <w:sz w:val="24"/>
          <w:szCs w:val="24"/>
        </w:rPr>
        <w:t>44 529</w:t>
      </w:r>
      <w:r w:rsidR="00237671" w:rsidRPr="00237671">
        <w:rPr>
          <w:sz w:val="24"/>
          <w:szCs w:val="24"/>
        </w:rPr>
        <w:t xml:space="preserve"> тыс. тенге по данной статье сложился в связи тем, что утвержденные затраты в тарифной смете занижены по сравнению с проектом. </w:t>
      </w:r>
    </w:p>
    <w:p w:rsidR="00E325B2" w:rsidRPr="00237671" w:rsidRDefault="00E325B2" w:rsidP="00233CA1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621904">
        <w:rPr>
          <w:b/>
          <w:sz w:val="24"/>
          <w:szCs w:val="24"/>
        </w:rPr>
        <w:t>Статья «Налоговые платежи и сборы».</w:t>
      </w:r>
      <w:r>
        <w:rPr>
          <w:sz w:val="24"/>
          <w:szCs w:val="24"/>
        </w:rPr>
        <w:t xml:space="preserve"> </w:t>
      </w:r>
      <w:r w:rsidRPr="00B619D4">
        <w:rPr>
          <w:sz w:val="24"/>
          <w:szCs w:val="24"/>
        </w:rPr>
        <w:t xml:space="preserve">По данной статье </w:t>
      </w:r>
      <w:r>
        <w:rPr>
          <w:sz w:val="24"/>
          <w:szCs w:val="24"/>
        </w:rPr>
        <w:t>сложился</w:t>
      </w:r>
      <w:r w:rsidRPr="00B619D4">
        <w:rPr>
          <w:sz w:val="24"/>
          <w:szCs w:val="24"/>
        </w:rPr>
        <w:t xml:space="preserve"> перерасход на сумму 25 </w:t>
      </w:r>
      <w:r>
        <w:rPr>
          <w:sz w:val="24"/>
          <w:szCs w:val="24"/>
        </w:rPr>
        <w:t>614</w:t>
      </w:r>
      <w:r w:rsidRPr="00B619D4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B619D4">
        <w:rPr>
          <w:sz w:val="24"/>
          <w:szCs w:val="24"/>
        </w:rPr>
        <w:t>тенге. В данную статью затрат входят следующие виды налоговых платежей: налог на имущество, земельный налог, плата за РЧС, налог на транспорт. Расчет сумм налоговых платежей осуществляется в соответствии с требованиями Налогового Кодекса РК, при подаче заявки на утверждение тарифов по статье «Налоги» была заявлена сумма 61 295 тыс. тенге, в утвержденной тарифной смете 40 892 тыс.</w:t>
      </w:r>
      <w:r>
        <w:rPr>
          <w:sz w:val="24"/>
          <w:szCs w:val="24"/>
        </w:rPr>
        <w:t xml:space="preserve"> </w:t>
      </w:r>
      <w:r w:rsidRPr="00B619D4">
        <w:rPr>
          <w:sz w:val="24"/>
          <w:szCs w:val="24"/>
        </w:rPr>
        <w:t>тенге</w:t>
      </w:r>
      <w:r>
        <w:rPr>
          <w:sz w:val="24"/>
          <w:szCs w:val="24"/>
        </w:rPr>
        <w:t>,</w:t>
      </w:r>
      <w:r w:rsidRPr="00B619D4">
        <w:rPr>
          <w:sz w:val="24"/>
          <w:szCs w:val="24"/>
        </w:rPr>
        <w:t xml:space="preserve"> т.е. предприятие не имеет возможности влияния на данную статью затрат.</w:t>
      </w:r>
    </w:p>
    <w:p w:rsidR="00237671" w:rsidRPr="00237671" w:rsidRDefault="00237671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«Другие расходы»</w:t>
      </w:r>
      <w:r w:rsidRPr="00237671">
        <w:rPr>
          <w:sz w:val="24"/>
          <w:szCs w:val="24"/>
        </w:rPr>
        <w:t xml:space="preserve"> - перерасход составил </w:t>
      </w:r>
      <w:r w:rsidR="00D26D9B">
        <w:rPr>
          <w:sz w:val="24"/>
          <w:szCs w:val="24"/>
        </w:rPr>
        <w:t xml:space="preserve">7 </w:t>
      </w:r>
      <w:r w:rsidR="00E325B2">
        <w:rPr>
          <w:sz w:val="24"/>
          <w:szCs w:val="24"/>
        </w:rPr>
        <w:t>245</w:t>
      </w:r>
      <w:r w:rsidRPr="00237671">
        <w:rPr>
          <w:sz w:val="24"/>
          <w:szCs w:val="24"/>
        </w:rPr>
        <w:t xml:space="preserve"> тыс. тенге, в связи с ростом стоимости услуг.</w:t>
      </w:r>
      <w:r w:rsidRPr="00237671">
        <w:rPr>
          <w:sz w:val="24"/>
          <w:szCs w:val="24"/>
        </w:rPr>
        <w:tab/>
      </w:r>
      <w:r w:rsidRPr="00237671">
        <w:rPr>
          <w:sz w:val="24"/>
          <w:szCs w:val="24"/>
        </w:rPr>
        <w:tab/>
      </w:r>
    </w:p>
    <w:p w:rsidR="00237671" w:rsidRPr="00237671" w:rsidRDefault="00237671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</w:p>
    <w:p w:rsidR="00E325B2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 xml:space="preserve">Исполнение тарифной сметы по производству тепловой энергии </w:t>
      </w:r>
    </w:p>
    <w:p w:rsidR="00237671" w:rsidRPr="00237671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ТЭЦ-2 АО «ПАВЛОДАРЭНЕРГО» за 201</w:t>
      </w:r>
      <w:r w:rsidR="001C7EB9" w:rsidRPr="001C7EB9">
        <w:rPr>
          <w:b/>
          <w:sz w:val="24"/>
          <w:szCs w:val="24"/>
        </w:rPr>
        <w:t>7</w:t>
      </w:r>
      <w:r w:rsidRPr="00237671">
        <w:rPr>
          <w:b/>
          <w:sz w:val="24"/>
          <w:szCs w:val="24"/>
        </w:rPr>
        <w:t xml:space="preserve"> г.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 w:rsidR="00D26D9B">
        <w:rPr>
          <w:sz w:val="24"/>
          <w:szCs w:val="24"/>
        </w:rPr>
        <w:t>1</w:t>
      </w:r>
      <w:r w:rsidR="00F01663">
        <w:rPr>
          <w:sz w:val="24"/>
          <w:szCs w:val="24"/>
        </w:rPr>
        <w:t> 495 834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D26D9B">
        <w:rPr>
          <w:sz w:val="24"/>
          <w:szCs w:val="24"/>
        </w:rPr>
        <w:t>1</w:t>
      </w:r>
      <w:r w:rsidR="00F01663">
        <w:rPr>
          <w:sz w:val="24"/>
          <w:szCs w:val="24"/>
        </w:rPr>
        <w:t> 760 663</w:t>
      </w:r>
      <w:r w:rsidRPr="00237671">
        <w:rPr>
          <w:sz w:val="24"/>
          <w:szCs w:val="24"/>
        </w:rPr>
        <w:t xml:space="preserve"> тыс. тенге.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 w:rsidR="008401DD">
        <w:rPr>
          <w:sz w:val="24"/>
          <w:szCs w:val="24"/>
        </w:rPr>
        <w:t>1</w:t>
      </w:r>
      <w:r w:rsidR="00F01663">
        <w:rPr>
          <w:sz w:val="24"/>
          <w:szCs w:val="24"/>
        </w:rPr>
        <w:t> 632 572</w:t>
      </w:r>
      <w:r w:rsidRPr="00237671">
        <w:rPr>
          <w:sz w:val="24"/>
          <w:szCs w:val="24"/>
        </w:rPr>
        <w:t xml:space="preserve"> тыс. тенге. План в тарифной смете, в пересчете на фактичес</w:t>
      </w:r>
      <w:r w:rsidR="00D26D9B">
        <w:rPr>
          <w:sz w:val="24"/>
          <w:szCs w:val="24"/>
        </w:rPr>
        <w:t xml:space="preserve">кий объем производства </w:t>
      </w:r>
      <w:r w:rsidR="008401DD">
        <w:rPr>
          <w:sz w:val="24"/>
          <w:szCs w:val="24"/>
        </w:rPr>
        <w:t>1</w:t>
      </w:r>
      <w:r w:rsidR="00F01663">
        <w:rPr>
          <w:sz w:val="24"/>
          <w:szCs w:val="24"/>
        </w:rPr>
        <w:t> 467 147</w:t>
      </w:r>
      <w:r w:rsidRPr="00237671">
        <w:rPr>
          <w:sz w:val="24"/>
          <w:szCs w:val="24"/>
        </w:rPr>
        <w:t xml:space="preserve"> тыс. тенге. Сложился перерасход </w:t>
      </w:r>
      <w:r w:rsidR="00F01663">
        <w:rPr>
          <w:sz w:val="24"/>
          <w:szCs w:val="24"/>
        </w:rPr>
        <w:t xml:space="preserve">165 424 </w:t>
      </w:r>
      <w:r w:rsidR="00D26D9B">
        <w:rPr>
          <w:sz w:val="24"/>
          <w:szCs w:val="24"/>
        </w:rPr>
        <w:t>тыс. тенге</w:t>
      </w:r>
      <w:r w:rsidRPr="00237671">
        <w:rPr>
          <w:sz w:val="24"/>
          <w:szCs w:val="24"/>
        </w:rPr>
        <w:t>. Основные статьи затрат:</w:t>
      </w:r>
    </w:p>
    <w:p w:rsidR="00F01663" w:rsidRPr="00237671" w:rsidRDefault="00237671" w:rsidP="00F01663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«Топливо».</w:t>
      </w:r>
      <w:r w:rsidR="00D26D9B">
        <w:rPr>
          <w:sz w:val="24"/>
          <w:szCs w:val="24"/>
        </w:rPr>
        <w:t xml:space="preserve"> По данной статье перерасход</w:t>
      </w:r>
      <w:r w:rsidRPr="00237671">
        <w:rPr>
          <w:sz w:val="24"/>
          <w:szCs w:val="24"/>
        </w:rPr>
        <w:t xml:space="preserve"> – </w:t>
      </w:r>
      <w:r w:rsidR="00F01663">
        <w:rPr>
          <w:sz w:val="24"/>
          <w:szCs w:val="24"/>
        </w:rPr>
        <w:t>53 263</w:t>
      </w:r>
      <w:r w:rsidRPr="00237671">
        <w:rPr>
          <w:sz w:val="24"/>
          <w:szCs w:val="24"/>
        </w:rPr>
        <w:t xml:space="preserve"> тыс. тенге </w:t>
      </w:r>
      <w:r w:rsidR="00F01663" w:rsidRPr="00237671">
        <w:rPr>
          <w:sz w:val="24"/>
          <w:szCs w:val="24"/>
        </w:rPr>
        <w:t xml:space="preserve">Основной причиной </w:t>
      </w:r>
      <w:r w:rsidR="00F01663" w:rsidRPr="00233CA1">
        <w:rPr>
          <w:sz w:val="24"/>
          <w:szCs w:val="24"/>
        </w:rPr>
        <w:t xml:space="preserve">является </w:t>
      </w:r>
      <w:r w:rsidR="00F01663">
        <w:rPr>
          <w:sz w:val="24"/>
          <w:szCs w:val="24"/>
        </w:rPr>
        <w:t xml:space="preserve">рост стоимости </w:t>
      </w:r>
      <w:r w:rsidR="00F01663" w:rsidRPr="00233CA1">
        <w:rPr>
          <w:sz w:val="24"/>
          <w:szCs w:val="24"/>
        </w:rPr>
        <w:t>угля</w:t>
      </w:r>
      <w:r w:rsidR="00AB0B78">
        <w:rPr>
          <w:sz w:val="24"/>
          <w:szCs w:val="24"/>
        </w:rPr>
        <w:t xml:space="preserve"> и ж/д тарифа</w:t>
      </w:r>
      <w:r w:rsidR="00F01663">
        <w:rPr>
          <w:sz w:val="24"/>
          <w:szCs w:val="24"/>
        </w:rPr>
        <w:t>.</w:t>
      </w:r>
      <w:r w:rsidR="00F01663" w:rsidRPr="00237671">
        <w:rPr>
          <w:sz w:val="24"/>
          <w:szCs w:val="24"/>
        </w:rPr>
        <w:t xml:space="preserve">  </w:t>
      </w:r>
    </w:p>
    <w:p w:rsidR="00237671" w:rsidRDefault="00237671" w:rsidP="00777017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По статьям </w:t>
      </w:r>
      <w:r w:rsidR="00F01663">
        <w:rPr>
          <w:b/>
          <w:sz w:val="24"/>
          <w:szCs w:val="24"/>
        </w:rPr>
        <w:t xml:space="preserve">«Вода на технологические цели», </w:t>
      </w:r>
      <w:r w:rsidR="00D26D9B">
        <w:rPr>
          <w:b/>
          <w:sz w:val="24"/>
          <w:szCs w:val="24"/>
        </w:rPr>
        <w:t xml:space="preserve">«Энергия на </w:t>
      </w:r>
      <w:proofErr w:type="spellStart"/>
      <w:r w:rsidR="00D26D9B">
        <w:rPr>
          <w:b/>
          <w:sz w:val="24"/>
          <w:szCs w:val="24"/>
        </w:rPr>
        <w:t>хоз</w:t>
      </w:r>
      <w:proofErr w:type="gramStart"/>
      <w:r w:rsidR="00D26D9B">
        <w:rPr>
          <w:b/>
          <w:sz w:val="24"/>
          <w:szCs w:val="24"/>
        </w:rPr>
        <w:t>.н</w:t>
      </w:r>
      <w:proofErr w:type="gramEnd"/>
      <w:r w:rsidR="00D26D9B">
        <w:rPr>
          <w:b/>
          <w:sz w:val="24"/>
          <w:szCs w:val="24"/>
        </w:rPr>
        <w:t>ужды</w:t>
      </w:r>
      <w:proofErr w:type="spellEnd"/>
      <w:r w:rsidR="00D26D9B">
        <w:rPr>
          <w:b/>
          <w:sz w:val="24"/>
          <w:szCs w:val="24"/>
        </w:rPr>
        <w:t xml:space="preserve">», </w:t>
      </w:r>
      <w:r w:rsidR="00F01663">
        <w:rPr>
          <w:b/>
          <w:sz w:val="24"/>
          <w:szCs w:val="24"/>
        </w:rPr>
        <w:t>«Ремонт</w:t>
      </w:r>
      <w:r w:rsidR="00EB3290">
        <w:rPr>
          <w:b/>
          <w:sz w:val="24"/>
          <w:szCs w:val="24"/>
        </w:rPr>
        <w:t>ы</w:t>
      </w:r>
      <w:r w:rsidR="00F01663">
        <w:rPr>
          <w:b/>
          <w:sz w:val="24"/>
          <w:szCs w:val="24"/>
        </w:rPr>
        <w:t xml:space="preserve">», </w:t>
      </w:r>
      <w:r w:rsidRPr="00237671">
        <w:rPr>
          <w:b/>
          <w:sz w:val="24"/>
          <w:szCs w:val="24"/>
        </w:rPr>
        <w:t>«Плата за эмиссии»</w:t>
      </w:r>
      <w:r w:rsidR="00D26D9B">
        <w:rPr>
          <w:b/>
          <w:sz w:val="24"/>
          <w:szCs w:val="24"/>
        </w:rPr>
        <w:t xml:space="preserve">, </w:t>
      </w:r>
      <w:r w:rsidRPr="00237671">
        <w:rPr>
          <w:sz w:val="24"/>
          <w:szCs w:val="24"/>
        </w:rPr>
        <w:t>отклонения в пределах допустимых норм (до 5%).</w:t>
      </w:r>
    </w:p>
    <w:p w:rsidR="00F01663" w:rsidRPr="00474D8C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«Оплата труда с отчислениями». </w:t>
      </w:r>
      <w:r w:rsidR="00F01663" w:rsidRPr="00474D8C">
        <w:rPr>
          <w:sz w:val="24"/>
          <w:szCs w:val="24"/>
        </w:rPr>
        <w:t xml:space="preserve">По данной статье в утвержденной тарифной </w:t>
      </w:r>
      <w:r w:rsidR="00F01663" w:rsidRPr="00474D8C">
        <w:rPr>
          <w:sz w:val="24"/>
          <w:szCs w:val="24"/>
        </w:rPr>
        <w:lastRenderedPageBreak/>
        <w:t xml:space="preserve">смете предусмотрено </w:t>
      </w:r>
      <w:r w:rsidR="00F01663">
        <w:rPr>
          <w:sz w:val="24"/>
          <w:szCs w:val="24"/>
        </w:rPr>
        <w:t>217 526</w:t>
      </w:r>
      <w:r w:rsidR="00F01663" w:rsidRPr="00474D8C">
        <w:rPr>
          <w:sz w:val="24"/>
          <w:szCs w:val="24"/>
        </w:rPr>
        <w:t xml:space="preserve"> тыс. тенге, по факту </w:t>
      </w:r>
      <w:r w:rsidR="00F01663">
        <w:rPr>
          <w:sz w:val="24"/>
          <w:szCs w:val="24"/>
        </w:rPr>
        <w:t>269 181</w:t>
      </w:r>
      <w:r w:rsidR="00F01663" w:rsidRPr="00474D8C">
        <w:rPr>
          <w:sz w:val="24"/>
          <w:szCs w:val="24"/>
        </w:rPr>
        <w:t xml:space="preserve"> тыс. тенге. Перерасход </w:t>
      </w:r>
      <w:r w:rsidR="00F01663">
        <w:rPr>
          <w:sz w:val="24"/>
          <w:szCs w:val="24"/>
        </w:rPr>
        <w:t>51 655</w:t>
      </w:r>
      <w:r w:rsidR="00F01663" w:rsidRPr="00474D8C">
        <w:rPr>
          <w:sz w:val="24"/>
          <w:szCs w:val="24"/>
        </w:rPr>
        <w:t xml:space="preserve"> тыс. тенге. При подаче заявки на утверждение тарифов затраты на оплату труда с отчислениями были заявлены в сумме </w:t>
      </w:r>
      <w:r w:rsidR="00F01663">
        <w:rPr>
          <w:sz w:val="24"/>
          <w:szCs w:val="24"/>
        </w:rPr>
        <w:t xml:space="preserve">291 752 </w:t>
      </w:r>
      <w:r w:rsidR="00F01663" w:rsidRPr="00474D8C">
        <w:rPr>
          <w:sz w:val="24"/>
          <w:szCs w:val="24"/>
        </w:rPr>
        <w:t xml:space="preserve">тыс. тенге. Средняя заработная плата рассчитывалась в размере </w:t>
      </w:r>
      <w:r w:rsidR="00F01663" w:rsidRPr="004F503E">
        <w:rPr>
          <w:sz w:val="24"/>
          <w:szCs w:val="24"/>
        </w:rPr>
        <w:t>12</w:t>
      </w:r>
      <w:r w:rsidR="00F01663">
        <w:rPr>
          <w:sz w:val="24"/>
          <w:szCs w:val="24"/>
        </w:rPr>
        <w:t xml:space="preserve">9 818 </w:t>
      </w:r>
      <w:r w:rsidR="00F01663" w:rsidRPr="004F503E">
        <w:rPr>
          <w:sz w:val="24"/>
          <w:szCs w:val="24"/>
        </w:rPr>
        <w:t>тенге</w:t>
      </w:r>
      <w:r w:rsidR="00F01663" w:rsidRPr="00474D8C">
        <w:rPr>
          <w:sz w:val="24"/>
          <w:szCs w:val="24"/>
        </w:rPr>
        <w:t xml:space="preserve"> на одного работника. В утвержденном тарифе средняя заработная плата составила </w:t>
      </w:r>
      <w:r w:rsidR="00F01663">
        <w:rPr>
          <w:sz w:val="24"/>
          <w:szCs w:val="24"/>
        </w:rPr>
        <w:t>105 776</w:t>
      </w:r>
      <w:r w:rsidR="00F01663" w:rsidRPr="0030191E">
        <w:rPr>
          <w:sz w:val="24"/>
          <w:szCs w:val="24"/>
        </w:rPr>
        <w:t xml:space="preserve"> тенге.</w:t>
      </w:r>
      <w:r w:rsidR="00F01663" w:rsidRPr="00A16407">
        <w:rPr>
          <w:sz w:val="24"/>
          <w:szCs w:val="24"/>
        </w:rPr>
        <w:t xml:space="preserve"> </w:t>
      </w:r>
      <w:r w:rsidR="00F01663">
        <w:rPr>
          <w:sz w:val="24"/>
          <w:szCs w:val="24"/>
        </w:rPr>
        <w:t xml:space="preserve">По факту средняя заработная плата работников ТЭЦ-2 составила 139 299 тенге. </w:t>
      </w:r>
      <w:r w:rsidR="00F01663" w:rsidRPr="00A16407">
        <w:rPr>
          <w:sz w:val="24"/>
          <w:szCs w:val="24"/>
        </w:rPr>
        <w:t>Согласно статистически</w:t>
      </w:r>
      <w:r w:rsidR="00F01663">
        <w:rPr>
          <w:sz w:val="24"/>
          <w:szCs w:val="24"/>
        </w:rPr>
        <w:t>м данным</w:t>
      </w:r>
      <w:r w:rsidR="00F01663" w:rsidRPr="00A16407">
        <w:rPr>
          <w:sz w:val="24"/>
          <w:szCs w:val="24"/>
        </w:rPr>
        <w:t xml:space="preserve"> за 201</w:t>
      </w:r>
      <w:r w:rsidR="00F01663">
        <w:rPr>
          <w:sz w:val="24"/>
          <w:szCs w:val="24"/>
        </w:rPr>
        <w:t>7</w:t>
      </w:r>
      <w:r w:rsidR="00F01663" w:rsidRPr="00A16407">
        <w:rPr>
          <w:sz w:val="24"/>
          <w:szCs w:val="24"/>
        </w:rPr>
        <w:t xml:space="preserve"> год средняя заработная плата по промышленным предприятиям Павлодарской области </w:t>
      </w:r>
      <w:r w:rsidR="00F01663" w:rsidRPr="00EB7882">
        <w:rPr>
          <w:sz w:val="24"/>
          <w:szCs w:val="24"/>
        </w:rPr>
        <w:t>– 1</w:t>
      </w:r>
      <w:r w:rsidR="00F01663">
        <w:rPr>
          <w:sz w:val="24"/>
          <w:szCs w:val="24"/>
        </w:rPr>
        <w:t>72 361</w:t>
      </w:r>
      <w:r w:rsidR="00F01663" w:rsidRPr="00EB7882">
        <w:rPr>
          <w:sz w:val="24"/>
          <w:szCs w:val="24"/>
        </w:rPr>
        <w:t xml:space="preserve"> тенге</w:t>
      </w:r>
      <w:r w:rsidR="00F01663" w:rsidRPr="00A16407">
        <w:rPr>
          <w:sz w:val="24"/>
          <w:szCs w:val="24"/>
        </w:rPr>
        <w:t>. Для предотвращения</w:t>
      </w:r>
      <w:r w:rsidR="00F01663" w:rsidRPr="00474D8C">
        <w:rPr>
          <w:sz w:val="24"/>
          <w:szCs w:val="24"/>
        </w:rPr>
        <w:t xml:space="preserve"> текучести кадров и сохранения уровня заработной платы АО «ПАВЛОДАРЭНЕРГО» вынужден</w:t>
      </w:r>
      <w:r w:rsidR="00F01663">
        <w:rPr>
          <w:sz w:val="24"/>
          <w:szCs w:val="24"/>
        </w:rPr>
        <w:t>ы</w:t>
      </w:r>
      <w:r w:rsidR="00F01663" w:rsidRPr="00474D8C">
        <w:rPr>
          <w:sz w:val="24"/>
          <w:szCs w:val="24"/>
        </w:rPr>
        <w:t xml:space="preserve"> нести затраты по заработной плате выше учтенных в тарифной смете.</w:t>
      </w:r>
    </w:p>
    <w:p w:rsidR="00237671" w:rsidRPr="00237671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сторонних организаций». </w:t>
      </w:r>
      <w:r w:rsidRPr="00237671">
        <w:rPr>
          <w:sz w:val="24"/>
          <w:szCs w:val="24"/>
        </w:rPr>
        <w:t xml:space="preserve">По данной статье сложился перерасход в сумме </w:t>
      </w:r>
      <w:r w:rsidR="00F01663">
        <w:rPr>
          <w:sz w:val="24"/>
          <w:szCs w:val="24"/>
        </w:rPr>
        <w:t>4 631</w:t>
      </w:r>
      <w:r w:rsidRPr="00237671">
        <w:rPr>
          <w:sz w:val="24"/>
          <w:szCs w:val="24"/>
        </w:rPr>
        <w:t xml:space="preserve"> тыс. тенге. Основной причиной перерасхода послужили затраты на услуги </w:t>
      </w:r>
      <w:r w:rsidR="00F01663">
        <w:rPr>
          <w:sz w:val="24"/>
          <w:szCs w:val="24"/>
        </w:rPr>
        <w:t xml:space="preserve">охраны объектов </w:t>
      </w:r>
      <w:r w:rsidRPr="00237671">
        <w:rPr>
          <w:sz w:val="24"/>
          <w:szCs w:val="24"/>
        </w:rPr>
        <w:t>и по</w:t>
      </w:r>
      <w:r w:rsidR="00F01663">
        <w:rPr>
          <w:sz w:val="24"/>
          <w:szCs w:val="24"/>
        </w:rPr>
        <w:t xml:space="preserve">жарно-оперативное обслуживание, вследствие </w:t>
      </w:r>
      <w:r w:rsidRPr="00237671">
        <w:rPr>
          <w:sz w:val="24"/>
          <w:szCs w:val="24"/>
        </w:rPr>
        <w:t>удорожани</w:t>
      </w:r>
      <w:r w:rsidR="00F01663">
        <w:rPr>
          <w:sz w:val="24"/>
          <w:szCs w:val="24"/>
        </w:rPr>
        <w:t>я</w:t>
      </w:r>
      <w:r w:rsidRPr="00237671">
        <w:rPr>
          <w:sz w:val="24"/>
          <w:szCs w:val="24"/>
        </w:rPr>
        <w:t xml:space="preserve"> стоимости услуг. </w:t>
      </w:r>
    </w:p>
    <w:p w:rsidR="00F01663" w:rsidRPr="00474D8C" w:rsidRDefault="00237671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Расходы периода.</w:t>
      </w:r>
      <w:r w:rsidRPr="00237671">
        <w:rPr>
          <w:sz w:val="24"/>
          <w:szCs w:val="24"/>
        </w:rPr>
        <w:t xml:space="preserve"> </w:t>
      </w:r>
      <w:r w:rsidR="00F01663" w:rsidRPr="00474D8C">
        <w:rPr>
          <w:sz w:val="24"/>
          <w:szCs w:val="24"/>
        </w:rPr>
        <w:t xml:space="preserve">В целом по расходам периода сложился перерасход на сумму </w:t>
      </w:r>
      <w:r w:rsidR="00F01663">
        <w:rPr>
          <w:sz w:val="24"/>
          <w:szCs w:val="24"/>
        </w:rPr>
        <w:t>61 531</w:t>
      </w:r>
      <w:r w:rsidR="00F01663" w:rsidRPr="00474D8C">
        <w:rPr>
          <w:sz w:val="24"/>
          <w:szCs w:val="24"/>
        </w:rPr>
        <w:t xml:space="preserve"> тыс.</w:t>
      </w:r>
      <w:r w:rsidR="00F01663">
        <w:rPr>
          <w:sz w:val="24"/>
          <w:szCs w:val="24"/>
        </w:rPr>
        <w:t xml:space="preserve"> </w:t>
      </w:r>
      <w:r w:rsidR="00F01663" w:rsidRPr="00474D8C">
        <w:rPr>
          <w:sz w:val="24"/>
          <w:szCs w:val="24"/>
        </w:rPr>
        <w:t xml:space="preserve">тенге, в том числе по общим административным расходам </w:t>
      </w:r>
      <w:r w:rsidR="00F01663">
        <w:rPr>
          <w:sz w:val="24"/>
          <w:szCs w:val="24"/>
        </w:rPr>
        <w:t>61 343</w:t>
      </w:r>
      <w:r w:rsidR="00F01663" w:rsidRPr="00474D8C">
        <w:rPr>
          <w:sz w:val="24"/>
          <w:szCs w:val="24"/>
        </w:rPr>
        <w:t xml:space="preserve"> тыс.</w:t>
      </w:r>
      <w:r w:rsidR="00F01663">
        <w:rPr>
          <w:sz w:val="24"/>
          <w:szCs w:val="24"/>
        </w:rPr>
        <w:t xml:space="preserve"> </w:t>
      </w:r>
      <w:r w:rsidR="00F01663" w:rsidRPr="00474D8C">
        <w:rPr>
          <w:sz w:val="24"/>
          <w:szCs w:val="24"/>
        </w:rPr>
        <w:t xml:space="preserve">тенге, по расходам на реализацию – </w:t>
      </w:r>
      <w:r w:rsidR="00F01663">
        <w:rPr>
          <w:sz w:val="24"/>
          <w:szCs w:val="24"/>
        </w:rPr>
        <w:t>188</w:t>
      </w:r>
      <w:r w:rsidR="00F01663" w:rsidRPr="00474D8C">
        <w:rPr>
          <w:sz w:val="24"/>
          <w:szCs w:val="24"/>
        </w:rPr>
        <w:t xml:space="preserve"> тыс. тенге. </w:t>
      </w:r>
    </w:p>
    <w:p w:rsidR="00237671" w:rsidRPr="00237671" w:rsidRDefault="00EB3290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37671">
        <w:rPr>
          <w:b/>
          <w:sz w:val="24"/>
          <w:szCs w:val="24"/>
        </w:rPr>
        <w:t>тать</w:t>
      </w:r>
      <w:r>
        <w:rPr>
          <w:b/>
          <w:sz w:val="24"/>
          <w:szCs w:val="24"/>
        </w:rPr>
        <w:t>я</w:t>
      </w:r>
      <w:r w:rsidRPr="00237671">
        <w:rPr>
          <w:b/>
          <w:sz w:val="24"/>
          <w:szCs w:val="24"/>
        </w:rPr>
        <w:t xml:space="preserve"> «Оплата труда с отчислениями»</w:t>
      </w:r>
      <w:r>
        <w:rPr>
          <w:b/>
          <w:sz w:val="24"/>
          <w:szCs w:val="24"/>
        </w:rPr>
        <w:t xml:space="preserve"> </w:t>
      </w:r>
      <w:r w:rsidR="00237671" w:rsidRPr="00237671">
        <w:rPr>
          <w:sz w:val="24"/>
          <w:szCs w:val="24"/>
        </w:rPr>
        <w:t xml:space="preserve">административного персонала. Перерасход </w:t>
      </w:r>
      <w:r>
        <w:rPr>
          <w:sz w:val="24"/>
          <w:szCs w:val="24"/>
        </w:rPr>
        <w:t>32 222</w:t>
      </w:r>
      <w:r w:rsidR="00237671" w:rsidRPr="00237671">
        <w:rPr>
          <w:sz w:val="24"/>
          <w:szCs w:val="24"/>
        </w:rPr>
        <w:t xml:space="preserve"> тыс. тенге в связи тем, что утвержденные затраты в тарифной смете занижены по сравнению с проектом.</w:t>
      </w:r>
    </w:p>
    <w:p w:rsidR="00EB3290" w:rsidRDefault="00EB3290" w:rsidP="00EB3290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621904">
        <w:rPr>
          <w:b/>
          <w:sz w:val="24"/>
          <w:szCs w:val="24"/>
        </w:rPr>
        <w:t>Статья «Налоговые платежи и сборы».</w:t>
      </w:r>
      <w:r>
        <w:rPr>
          <w:sz w:val="24"/>
          <w:szCs w:val="24"/>
        </w:rPr>
        <w:t xml:space="preserve"> </w:t>
      </w:r>
      <w:r w:rsidRPr="00B619D4">
        <w:rPr>
          <w:sz w:val="24"/>
          <w:szCs w:val="24"/>
        </w:rPr>
        <w:t xml:space="preserve">По данной статье </w:t>
      </w:r>
      <w:r>
        <w:rPr>
          <w:sz w:val="24"/>
          <w:szCs w:val="24"/>
        </w:rPr>
        <w:t>сложился</w:t>
      </w:r>
      <w:r w:rsidRPr="00B619D4">
        <w:rPr>
          <w:sz w:val="24"/>
          <w:szCs w:val="24"/>
        </w:rPr>
        <w:t xml:space="preserve"> перерасход на сумму </w:t>
      </w:r>
      <w:r>
        <w:rPr>
          <w:sz w:val="24"/>
          <w:szCs w:val="24"/>
        </w:rPr>
        <w:t>14 591</w:t>
      </w:r>
      <w:r w:rsidRPr="00B619D4">
        <w:rPr>
          <w:sz w:val="24"/>
          <w:szCs w:val="24"/>
        </w:rPr>
        <w:t xml:space="preserve"> </w:t>
      </w:r>
      <w:proofErr w:type="spellStart"/>
      <w:r w:rsidRPr="00B619D4">
        <w:rPr>
          <w:sz w:val="24"/>
          <w:szCs w:val="24"/>
        </w:rPr>
        <w:t>тыс</w:t>
      </w:r>
      <w:proofErr w:type="gramStart"/>
      <w:r w:rsidRPr="00B619D4">
        <w:rPr>
          <w:sz w:val="24"/>
          <w:szCs w:val="24"/>
        </w:rPr>
        <w:t>.т</w:t>
      </w:r>
      <w:proofErr w:type="gramEnd"/>
      <w:r w:rsidRPr="00B619D4">
        <w:rPr>
          <w:sz w:val="24"/>
          <w:szCs w:val="24"/>
        </w:rPr>
        <w:t>енге</w:t>
      </w:r>
      <w:proofErr w:type="spellEnd"/>
      <w:r w:rsidRPr="00B619D4">
        <w:rPr>
          <w:sz w:val="24"/>
          <w:szCs w:val="24"/>
        </w:rPr>
        <w:t xml:space="preserve">. В данную статью затрат входят следующие виды налоговых платежей: налог на имущество, земельный налог, плата за РЧС, налог на транспорт. Расчет сумм налоговых платежей осуществляется в соответствии с требованиями Налогового Кодекса РК, при подаче заявки на утверждение тарифов по статье «Налоги» была заявлена сумма </w:t>
      </w:r>
      <w:r>
        <w:rPr>
          <w:sz w:val="24"/>
          <w:szCs w:val="24"/>
        </w:rPr>
        <w:t>26 821</w:t>
      </w:r>
      <w:r w:rsidRPr="00B619D4">
        <w:rPr>
          <w:sz w:val="24"/>
          <w:szCs w:val="24"/>
        </w:rPr>
        <w:t xml:space="preserve"> тыс. тенге, в утвержденной тарифной смете </w:t>
      </w:r>
      <w:r>
        <w:rPr>
          <w:sz w:val="24"/>
          <w:szCs w:val="24"/>
        </w:rPr>
        <w:t>15 725</w:t>
      </w:r>
      <w:r w:rsidRPr="00B619D4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B619D4">
        <w:rPr>
          <w:sz w:val="24"/>
          <w:szCs w:val="24"/>
        </w:rPr>
        <w:t>тенге</w:t>
      </w:r>
      <w:r>
        <w:rPr>
          <w:sz w:val="24"/>
          <w:szCs w:val="24"/>
        </w:rPr>
        <w:t>,</w:t>
      </w:r>
      <w:r w:rsidRPr="00B619D4">
        <w:rPr>
          <w:sz w:val="24"/>
          <w:szCs w:val="24"/>
        </w:rPr>
        <w:t xml:space="preserve"> т.е. предприятие не имеет возможности влияния на данную статью затрат.</w:t>
      </w:r>
    </w:p>
    <w:p w:rsidR="00237671" w:rsidRPr="00237671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«Другие расходы»</w:t>
      </w:r>
      <w:r w:rsidRPr="00237671">
        <w:rPr>
          <w:sz w:val="24"/>
          <w:szCs w:val="24"/>
        </w:rPr>
        <w:t xml:space="preserve"> - перерасход составил </w:t>
      </w:r>
      <w:r w:rsidR="00EB3290">
        <w:rPr>
          <w:sz w:val="24"/>
          <w:szCs w:val="24"/>
        </w:rPr>
        <w:t>2 001</w:t>
      </w:r>
      <w:r w:rsidRPr="00237671">
        <w:rPr>
          <w:sz w:val="24"/>
          <w:szCs w:val="24"/>
        </w:rPr>
        <w:t xml:space="preserve"> тыс. тенге, в связи с ростом стоимости услуг по легковому автотранспорту, ростом цен на канцелярские товары, материалы на эксплуатацию. </w:t>
      </w:r>
      <w:r w:rsidRPr="00237671">
        <w:rPr>
          <w:sz w:val="24"/>
          <w:szCs w:val="24"/>
        </w:rPr>
        <w:tab/>
      </w:r>
      <w:r w:rsidRPr="00237671">
        <w:rPr>
          <w:sz w:val="24"/>
          <w:szCs w:val="24"/>
        </w:rPr>
        <w:tab/>
      </w:r>
    </w:p>
    <w:p w:rsidR="00237671" w:rsidRPr="00237671" w:rsidRDefault="00237671" w:rsidP="00F01663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</w:p>
    <w:p w:rsidR="00E325B2" w:rsidRDefault="00237671" w:rsidP="00F01663">
      <w:pPr>
        <w:pStyle w:val="a6"/>
        <w:widowControl w:val="0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 xml:space="preserve">Исполнение тарифной сметы по производству тепловой энергии </w:t>
      </w:r>
    </w:p>
    <w:p w:rsidR="00237671" w:rsidRPr="00237671" w:rsidRDefault="008401DD" w:rsidP="00F01663">
      <w:pPr>
        <w:pStyle w:val="a6"/>
        <w:widowControl w:val="0"/>
        <w:spacing w:line="24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t>ЭТЭЦ АО «ПАВЛОДАРЭНЕРГО» за 201</w:t>
      </w:r>
      <w:r w:rsidR="001C7EB9" w:rsidRPr="001C7EB9">
        <w:rPr>
          <w:b/>
          <w:sz w:val="24"/>
          <w:szCs w:val="24"/>
        </w:rPr>
        <w:t>7</w:t>
      </w:r>
      <w:r w:rsidR="00237671" w:rsidRPr="00237671">
        <w:rPr>
          <w:b/>
          <w:sz w:val="24"/>
          <w:szCs w:val="24"/>
        </w:rPr>
        <w:t xml:space="preserve"> г.</w:t>
      </w:r>
    </w:p>
    <w:p w:rsidR="00237671" w:rsidRPr="00237671" w:rsidRDefault="00237671" w:rsidP="00F01663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 w:rsidR="008401DD">
        <w:rPr>
          <w:sz w:val="24"/>
          <w:szCs w:val="24"/>
        </w:rPr>
        <w:t>2</w:t>
      </w:r>
      <w:r w:rsidR="00EB3290">
        <w:rPr>
          <w:sz w:val="24"/>
          <w:szCs w:val="24"/>
        </w:rPr>
        <w:t> 833 413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EB3290">
        <w:rPr>
          <w:sz w:val="24"/>
          <w:szCs w:val="24"/>
        </w:rPr>
        <w:t>3 021 772</w:t>
      </w:r>
      <w:r w:rsidRPr="00237671">
        <w:rPr>
          <w:sz w:val="24"/>
          <w:szCs w:val="24"/>
        </w:rPr>
        <w:t xml:space="preserve"> тыс. тенге.</w:t>
      </w:r>
    </w:p>
    <w:p w:rsidR="00237671" w:rsidRPr="00237671" w:rsidRDefault="00237671" w:rsidP="00F01663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 w:rsidR="00EB3290">
        <w:rPr>
          <w:sz w:val="24"/>
          <w:szCs w:val="24"/>
        </w:rPr>
        <w:t xml:space="preserve">3 020 680 </w:t>
      </w:r>
      <w:r w:rsidRPr="00237671">
        <w:rPr>
          <w:sz w:val="24"/>
          <w:szCs w:val="24"/>
        </w:rPr>
        <w:t xml:space="preserve">тыс. тенге. План в тарифной смете, в пересчете на фактический объем производства </w:t>
      </w:r>
      <w:r w:rsidR="008401DD">
        <w:rPr>
          <w:sz w:val="24"/>
          <w:szCs w:val="24"/>
        </w:rPr>
        <w:t>2</w:t>
      </w:r>
      <w:r w:rsidR="00EB3290">
        <w:rPr>
          <w:sz w:val="24"/>
          <w:szCs w:val="24"/>
        </w:rPr>
        <w:t> 746 291</w:t>
      </w:r>
      <w:r w:rsidRPr="00237671">
        <w:rPr>
          <w:sz w:val="24"/>
          <w:szCs w:val="24"/>
        </w:rPr>
        <w:t xml:space="preserve"> тыс. тенге. Сложился перерасход </w:t>
      </w:r>
      <w:r w:rsidR="00EB3290">
        <w:rPr>
          <w:sz w:val="24"/>
          <w:szCs w:val="24"/>
        </w:rPr>
        <w:t xml:space="preserve">274 389 </w:t>
      </w:r>
      <w:r w:rsidRPr="00237671">
        <w:rPr>
          <w:sz w:val="24"/>
          <w:szCs w:val="24"/>
        </w:rPr>
        <w:t>тыс. тенге. Основные статьи затрат:</w:t>
      </w:r>
    </w:p>
    <w:p w:rsidR="00EB3290" w:rsidRPr="00237671" w:rsidRDefault="00237671" w:rsidP="00EB3290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«Топливо».</w:t>
      </w:r>
      <w:r w:rsidRPr="00237671">
        <w:rPr>
          <w:sz w:val="24"/>
          <w:szCs w:val="24"/>
        </w:rPr>
        <w:t xml:space="preserve"> По данной статье </w:t>
      </w:r>
      <w:r w:rsidR="00EB3290">
        <w:rPr>
          <w:sz w:val="24"/>
          <w:szCs w:val="24"/>
        </w:rPr>
        <w:t>перерасход</w:t>
      </w:r>
      <w:r w:rsidRPr="00237671">
        <w:rPr>
          <w:sz w:val="24"/>
          <w:szCs w:val="24"/>
        </w:rPr>
        <w:t xml:space="preserve"> – </w:t>
      </w:r>
      <w:r w:rsidR="00EB3290">
        <w:rPr>
          <w:sz w:val="24"/>
          <w:szCs w:val="24"/>
        </w:rPr>
        <w:t>29 828</w:t>
      </w:r>
      <w:r w:rsidR="00422D84">
        <w:rPr>
          <w:sz w:val="24"/>
          <w:szCs w:val="24"/>
        </w:rPr>
        <w:t xml:space="preserve"> тыс. тенге</w:t>
      </w:r>
      <w:r w:rsidR="00EB3290">
        <w:rPr>
          <w:sz w:val="24"/>
          <w:szCs w:val="24"/>
        </w:rPr>
        <w:t>.</w:t>
      </w:r>
      <w:r w:rsidR="00422D84">
        <w:rPr>
          <w:sz w:val="24"/>
          <w:szCs w:val="24"/>
        </w:rPr>
        <w:t xml:space="preserve"> </w:t>
      </w:r>
      <w:r w:rsidR="00EB3290" w:rsidRPr="00237671">
        <w:rPr>
          <w:sz w:val="24"/>
          <w:szCs w:val="24"/>
        </w:rPr>
        <w:t xml:space="preserve">Основной причиной </w:t>
      </w:r>
      <w:r w:rsidR="00EB3290" w:rsidRPr="00233CA1">
        <w:rPr>
          <w:sz w:val="24"/>
          <w:szCs w:val="24"/>
        </w:rPr>
        <w:t xml:space="preserve">является </w:t>
      </w:r>
      <w:r w:rsidR="00EB3290">
        <w:rPr>
          <w:sz w:val="24"/>
          <w:szCs w:val="24"/>
        </w:rPr>
        <w:t xml:space="preserve">рост стоимости </w:t>
      </w:r>
      <w:r w:rsidR="00EB3290" w:rsidRPr="00233CA1">
        <w:rPr>
          <w:sz w:val="24"/>
          <w:szCs w:val="24"/>
        </w:rPr>
        <w:t>угля</w:t>
      </w:r>
      <w:r w:rsidR="00EB3290">
        <w:rPr>
          <w:sz w:val="24"/>
          <w:szCs w:val="24"/>
        </w:rPr>
        <w:t>.</w:t>
      </w:r>
      <w:r w:rsidR="00EB3290" w:rsidRPr="00237671">
        <w:rPr>
          <w:sz w:val="24"/>
          <w:szCs w:val="24"/>
        </w:rPr>
        <w:t xml:space="preserve">  </w:t>
      </w:r>
    </w:p>
    <w:p w:rsidR="00237671" w:rsidRPr="00237671" w:rsidRDefault="00237671" w:rsidP="00F01663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По статьям </w:t>
      </w:r>
      <w:r w:rsidRPr="00237671">
        <w:rPr>
          <w:b/>
          <w:sz w:val="24"/>
          <w:szCs w:val="24"/>
        </w:rPr>
        <w:t>«</w:t>
      </w:r>
      <w:proofErr w:type="spellStart"/>
      <w:r w:rsidRPr="00237671">
        <w:rPr>
          <w:b/>
          <w:sz w:val="24"/>
          <w:szCs w:val="24"/>
        </w:rPr>
        <w:t>Хим</w:t>
      </w:r>
      <w:proofErr w:type="gramStart"/>
      <w:r w:rsidRPr="00237671">
        <w:rPr>
          <w:b/>
          <w:sz w:val="24"/>
          <w:szCs w:val="24"/>
        </w:rPr>
        <w:t>.р</w:t>
      </w:r>
      <w:proofErr w:type="gramEnd"/>
      <w:r w:rsidRPr="00237671">
        <w:rPr>
          <w:b/>
          <w:sz w:val="24"/>
          <w:szCs w:val="24"/>
        </w:rPr>
        <w:t>еагенты</w:t>
      </w:r>
      <w:proofErr w:type="spellEnd"/>
      <w:r w:rsidRPr="00237671">
        <w:rPr>
          <w:b/>
          <w:sz w:val="24"/>
          <w:szCs w:val="24"/>
        </w:rPr>
        <w:t xml:space="preserve">», </w:t>
      </w:r>
      <w:r w:rsidR="00EB3290">
        <w:rPr>
          <w:b/>
          <w:sz w:val="24"/>
          <w:szCs w:val="24"/>
        </w:rPr>
        <w:t xml:space="preserve">«Вода на технологические цели», </w:t>
      </w:r>
      <w:r w:rsidRPr="00237671">
        <w:rPr>
          <w:b/>
          <w:sz w:val="24"/>
          <w:szCs w:val="24"/>
        </w:rPr>
        <w:t xml:space="preserve">«Энергия на </w:t>
      </w:r>
      <w:proofErr w:type="spellStart"/>
      <w:r w:rsidRPr="00237671">
        <w:rPr>
          <w:b/>
          <w:sz w:val="24"/>
          <w:szCs w:val="24"/>
        </w:rPr>
        <w:t>хоз.нужды</w:t>
      </w:r>
      <w:proofErr w:type="spellEnd"/>
      <w:r w:rsidRPr="00237671">
        <w:rPr>
          <w:b/>
          <w:sz w:val="24"/>
          <w:szCs w:val="24"/>
        </w:rPr>
        <w:t xml:space="preserve">», </w:t>
      </w:r>
      <w:r w:rsidR="00EB3290">
        <w:rPr>
          <w:b/>
          <w:sz w:val="24"/>
          <w:szCs w:val="24"/>
        </w:rPr>
        <w:t xml:space="preserve">«Ремонты», </w:t>
      </w:r>
      <w:r w:rsidRPr="00237671">
        <w:rPr>
          <w:b/>
          <w:sz w:val="24"/>
          <w:szCs w:val="24"/>
        </w:rPr>
        <w:t>«</w:t>
      </w:r>
      <w:r w:rsidR="00EB3290">
        <w:rPr>
          <w:b/>
          <w:sz w:val="24"/>
          <w:szCs w:val="24"/>
        </w:rPr>
        <w:t>Плата за эмиссии</w:t>
      </w:r>
      <w:r w:rsidRPr="00237671">
        <w:rPr>
          <w:b/>
          <w:sz w:val="24"/>
          <w:szCs w:val="24"/>
        </w:rPr>
        <w:t xml:space="preserve">» </w:t>
      </w:r>
      <w:r w:rsidRPr="00237671">
        <w:rPr>
          <w:sz w:val="24"/>
          <w:szCs w:val="24"/>
        </w:rPr>
        <w:t>отклонения в пределах допустимых норм (до 5%).</w:t>
      </w:r>
    </w:p>
    <w:p w:rsidR="00EB3290" w:rsidRPr="00CC2FEF" w:rsidRDefault="00237671" w:rsidP="00EB3290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«Оплата труда с отчислениями». </w:t>
      </w:r>
      <w:r w:rsidR="00EB3290" w:rsidRPr="00CC2FEF">
        <w:rPr>
          <w:sz w:val="24"/>
          <w:szCs w:val="24"/>
        </w:rPr>
        <w:t xml:space="preserve">По данной статье в утвержденной тарифной смете предусмотрено </w:t>
      </w:r>
      <w:r w:rsidR="00EB3290">
        <w:rPr>
          <w:sz w:val="24"/>
          <w:szCs w:val="24"/>
        </w:rPr>
        <w:t>576 428</w:t>
      </w:r>
      <w:r w:rsidR="00EB3290" w:rsidRPr="00CC2FEF">
        <w:rPr>
          <w:sz w:val="24"/>
          <w:szCs w:val="24"/>
        </w:rPr>
        <w:t xml:space="preserve"> тыс. тенге, по факту </w:t>
      </w:r>
      <w:r w:rsidR="00EB3290">
        <w:rPr>
          <w:sz w:val="24"/>
          <w:szCs w:val="24"/>
        </w:rPr>
        <w:t>759 594</w:t>
      </w:r>
      <w:r w:rsidR="00EB3290" w:rsidRPr="00CC2FEF">
        <w:rPr>
          <w:sz w:val="24"/>
          <w:szCs w:val="24"/>
        </w:rPr>
        <w:t xml:space="preserve"> тыс. тенге. Перерасход </w:t>
      </w:r>
      <w:r w:rsidR="00EB3290">
        <w:rPr>
          <w:sz w:val="24"/>
          <w:szCs w:val="24"/>
        </w:rPr>
        <w:t>183 166</w:t>
      </w:r>
      <w:r w:rsidR="00EB3290" w:rsidRPr="00CC2FEF">
        <w:rPr>
          <w:sz w:val="24"/>
          <w:szCs w:val="24"/>
        </w:rPr>
        <w:t xml:space="preserve"> тыс. тенге. При расчете тарифа затраты на данную статью были заявлены в сумме </w:t>
      </w:r>
      <w:r w:rsidR="00EB3290" w:rsidRPr="006542E3">
        <w:rPr>
          <w:sz w:val="24"/>
          <w:szCs w:val="24"/>
        </w:rPr>
        <w:t>733 421</w:t>
      </w:r>
      <w:r w:rsidR="00EB3290" w:rsidRPr="00CC2FEF">
        <w:rPr>
          <w:sz w:val="24"/>
          <w:szCs w:val="24"/>
        </w:rPr>
        <w:t xml:space="preserve"> тыс. тенге. Средняя зарплата рассчитывалась в размере </w:t>
      </w:r>
      <w:r w:rsidR="00EB3290">
        <w:rPr>
          <w:sz w:val="24"/>
          <w:szCs w:val="24"/>
        </w:rPr>
        <w:t>1</w:t>
      </w:r>
      <w:r w:rsidR="00EB3290" w:rsidRPr="006542E3">
        <w:rPr>
          <w:sz w:val="24"/>
          <w:szCs w:val="24"/>
        </w:rPr>
        <w:t>33 686</w:t>
      </w:r>
      <w:r w:rsidR="00EB3290" w:rsidRPr="00CC2FEF">
        <w:rPr>
          <w:sz w:val="24"/>
          <w:szCs w:val="24"/>
        </w:rPr>
        <w:t xml:space="preserve"> тенге на одного работающего. В утвержденном тарифе средняя зарплата составила </w:t>
      </w:r>
      <w:r w:rsidR="00EB3290">
        <w:rPr>
          <w:sz w:val="24"/>
          <w:szCs w:val="24"/>
        </w:rPr>
        <w:t>9</w:t>
      </w:r>
      <w:r w:rsidR="00EB3290" w:rsidRPr="006542E3">
        <w:rPr>
          <w:sz w:val="24"/>
          <w:szCs w:val="24"/>
        </w:rPr>
        <w:t>9 312</w:t>
      </w:r>
      <w:r w:rsidR="00EB3290" w:rsidRPr="00CC2FEF">
        <w:rPr>
          <w:sz w:val="24"/>
          <w:szCs w:val="24"/>
        </w:rPr>
        <w:t xml:space="preserve"> тенге на одного человека. </w:t>
      </w:r>
      <w:r w:rsidR="00EB3290" w:rsidRPr="00AE477D">
        <w:rPr>
          <w:sz w:val="24"/>
          <w:szCs w:val="24"/>
        </w:rPr>
        <w:t xml:space="preserve">По факту средняя заработная плата </w:t>
      </w:r>
      <w:r w:rsidR="00EB3290">
        <w:rPr>
          <w:sz w:val="24"/>
          <w:szCs w:val="24"/>
        </w:rPr>
        <w:t>работников</w:t>
      </w:r>
      <w:r w:rsidR="00EB3290" w:rsidRPr="00AE477D">
        <w:rPr>
          <w:sz w:val="24"/>
          <w:szCs w:val="24"/>
        </w:rPr>
        <w:t xml:space="preserve"> </w:t>
      </w:r>
      <w:r w:rsidR="00EB3290">
        <w:rPr>
          <w:sz w:val="24"/>
          <w:szCs w:val="24"/>
        </w:rPr>
        <w:t>Э</w:t>
      </w:r>
      <w:r w:rsidR="00EB3290" w:rsidRPr="00AE477D">
        <w:rPr>
          <w:sz w:val="24"/>
          <w:szCs w:val="24"/>
        </w:rPr>
        <w:t>ТЭЦ за 201</w:t>
      </w:r>
      <w:r w:rsidR="00EB3290">
        <w:rPr>
          <w:sz w:val="24"/>
          <w:szCs w:val="24"/>
        </w:rPr>
        <w:t>7</w:t>
      </w:r>
      <w:r w:rsidR="00EB3290" w:rsidRPr="00AE477D">
        <w:rPr>
          <w:sz w:val="24"/>
          <w:szCs w:val="24"/>
        </w:rPr>
        <w:t xml:space="preserve"> год составила </w:t>
      </w:r>
      <w:r w:rsidR="00EB3290">
        <w:rPr>
          <w:sz w:val="24"/>
          <w:szCs w:val="24"/>
        </w:rPr>
        <w:t>132 660</w:t>
      </w:r>
      <w:r w:rsidR="00EB3290" w:rsidRPr="00AE477D">
        <w:rPr>
          <w:sz w:val="24"/>
          <w:szCs w:val="24"/>
        </w:rPr>
        <w:t xml:space="preserve"> тенге</w:t>
      </w:r>
      <w:r w:rsidR="00EB3290">
        <w:rPr>
          <w:sz w:val="24"/>
          <w:szCs w:val="24"/>
        </w:rPr>
        <w:t xml:space="preserve">. </w:t>
      </w:r>
      <w:r w:rsidR="00EB3290" w:rsidRPr="00CC2FEF">
        <w:rPr>
          <w:sz w:val="24"/>
          <w:szCs w:val="24"/>
        </w:rPr>
        <w:t>Согласно статистически</w:t>
      </w:r>
      <w:r w:rsidR="00EB3290">
        <w:rPr>
          <w:sz w:val="24"/>
          <w:szCs w:val="24"/>
        </w:rPr>
        <w:t>м</w:t>
      </w:r>
      <w:r w:rsidR="00EB3290" w:rsidRPr="00CC2FEF">
        <w:rPr>
          <w:sz w:val="24"/>
          <w:szCs w:val="24"/>
        </w:rPr>
        <w:t xml:space="preserve"> данны</w:t>
      </w:r>
      <w:r w:rsidR="00EB3290">
        <w:rPr>
          <w:sz w:val="24"/>
          <w:szCs w:val="24"/>
        </w:rPr>
        <w:t>м</w:t>
      </w:r>
      <w:r w:rsidR="00EB3290" w:rsidRPr="00CC2FEF">
        <w:rPr>
          <w:sz w:val="24"/>
          <w:szCs w:val="24"/>
        </w:rPr>
        <w:t xml:space="preserve"> за 201</w:t>
      </w:r>
      <w:r w:rsidR="00EB3290" w:rsidRPr="006542E3">
        <w:rPr>
          <w:sz w:val="24"/>
          <w:szCs w:val="24"/>
        </w:rPr>
        <w:t>7</w:t>
      </w:r>
      <w:r w:rsidR="00EB3290" w:rsidRPr="00CC2FEF">
        <w:rPr>
          <w:sz w:val="24"/>
          <w:szCs w:val="24"/>
        </w:rPr>
        <w:t xml:space="preserve"> год средняя зарплата по промышленным предприятиям Павлодарской области составила </w:t>
      </w:r>
      <w:r w:rsidR="00EB3290" w:rsidRPr="00297946">
        <w:rPr>
          <w:sz w:val="24"/>
          <w:szCs w:val="24"/>
        </w:rPr>
        <w:t>172 361 тенге.</w:t>
      </w:r>
      <w:r w:rsidR="00EB3290" w:rsidRPr="00CC2FEF">
        <w:rPr>
          <w:sz w:val="24"/>
          <w:szCs w:val="24"/>
        </w:rPr>
        <w:t xml:space="preserve"> Для предотвращения текучести кадров и сохранения уровня заработной платы АО «ПАВЛОДАРЭНЕРГО» вынуждено нести затраты по заработной плате выше учтенных в тарифной смете.</w:t>
      </w:r>
      <w:r w:rsidR="00EB3290" w:rsidRPr="000B5050">
        <w:t xml:space="preserve"> </w:t>
      </w:r>
    </w:p>
    <w:p w:rsidR="00EB3290" w:rsidRPr="00237671" w:rsidRDefault="00EB3290" w:rsidP="00EB3290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сторонних организаций». </w:t>
      </w:r>
      <w:r w:rsidRPr="00237671">
        <w:rPr>
          <w:sz w:val="24"/>
          <w:szCs w:val="24"/>
        </w:rPr>
        <w:t xml:space="preserve">По данной статье сложился перерасход в сумме </w:t>
      </w:r>
      <w:r>
        <w:rPr>
          <w:sz w:val="24"/>
          <w:szCs w:val="24"/>
        </w:rPr>
        <w:t>30 834</w:t>
      </w:r>
      <w:r w:rsidRPr="00237671">
        <w:rPr>
          <w:sz w:val="24"/>
          <w:szCs w:val="24"/>
        </w:rPr>
        <w:t xml:space="preserve"> тыс. тенге. Основной причиной перерасхода послужили затраты на </w:t>
      </w:r>
      <w:r>
        <w:rPr>
          <w:sz w:val="24"/>
          <w:szCs w:val="24"/>
        </w:rPr>
        <w:t xml:space="preserve">технические </w:t>
      </w:r>
      <w:r>
        <w:rPr>
          <w:sz w:val="24"/>
          <w:szCs w:val="24"/>
        </w:rPr>
        <w:lastRenderedPageBreak/>
        <w:t>характеристики</w:t>
      </w:r>
      <w:r w:rsidRPr="00237671">
        <w:rPr>
          <w:sz w:val="24"/>
          <w:szCs w:val="24"/>
        </w:rPr>
        <w:t xml:space="preserve">. </w:t>
      </w:r>
    </w:p>
    <w:p w:rsidR="00237671" w:rsidRPr="00237671" w:rsidRDefault="00237671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Расходы периода.</w:t>
      </w:r>
      <w:r w:rsidRPr="00237671">
        <w:rPr>
          <w:sz w:val="24"/>
          <w:szCs w:val="24"/>
        </w:rPr>
        <w:t xml:space="preserve"> В целом по расходам периода сложился перерасход на сумму </w:t>
      </w:r>
      <w:r w:rsidR="00851C0D">
        <w:rPr>
          <w:sz w:val="24"/>
          <w:szCs w:val="24"/>
        </w:rPr>
        <w:t>91 463</w:t>
      </w:r>
      <w:r w:rsidRPr="00237671">
        <w:rPr>
          <w:sz w:val="24"/>
          <w:szCs w:val="24"/>
        </w:rPr>
        <w:t xml:space="preserve"> тыс. тенге, в том числе по общим административным расходам </w:t>
      </w:r>
      <w:r w:rsidR="00851C0D">
        <w:rPr>
          <w:sz w:val="24"/>
          <w:szCs w:val="24"/>
        </w:rPr>
        <w:t>90 792</w:t>
      </w:r>
      <w:r w:rsidRPr="00237671">
        <w:rPr>
          <w:sz w:val="24"/>
          <w:szCs w:val="24"/>
        </w:rPr>
        <w:t xml:space="preserve"> тыс. тенге, по расходам по реализации – </w:t>
      </w:r>
      <w:r w:rsidR="00EB3290">
        <w:rPr>
          <w:sz w:val="24"/>
          <w:szCs w:val="24"/>
        </w:rPr>
        <w:t>671</w:t>
      </w:r>
      <w:r w:rsidRPr="00237671">
        <w:rPr>
          <w:sz w:val="24"/>
          <w:szCs w:val="24"/>
        </w:rPr>
        <w:t xml:space="preserve"> тыс. тенге.</w:t>
      </w:r>
    </w:p>
    <w:p w:rsidR="00EB3290" w:rsidRPr="00237671" w:rsidRDefault="00EB3290" w:rsidP="00EB3290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37671">
        <w:rPr>
          <w:b/>
          <w:sz w:val="24"/>
          <w:szCs w:val="24"/>
        </w:rPr>
        <w:t>тать</w:t>
      </w:r>
      <w:r>
        <w:rPr>
          <w:b/>
          <w:sz w:val="24"/>
          <w:szCs w:val="24"/>
        </w:rPr>
        <w:t>я</w:t>
      </w:r>
      <w:r w:rsidRPr="00237671">
        <w:rPr>
          <w:b/>
          <w:sz w:val="24"/>
          <w:szCs w:val="24"/>
        </w:rPr>
        <w:t xml:space="preserve"> «Оплата труда с отчислениями»</w:t>
      </w:r>
      <w:r>
        <w:rPr>
          <w:b/>
          <w:sz w:val="24"/>
          <w:szCs w:val="24"/>
        </w:rPr>
        <w:t xml:space="preserve"> </w:t>
      </w:r>
      <w:r w:rsidRPr="00237671">
        <w:rPr>
          <w:sz w:val="24"/>
          <w:szCs w:val="24"/>
        </w:rPr>
        <w:t xml:space="preserve">административного персонала. Перерасход </w:t>
      </w:r>
      <w:r w:rsidR="00851C0D">
        <w:rPr>
          <w:sz w:val="24"/>
          <w:szCs w:val="24"/>
        </w:rPr>
        <w:t>58 479</w:t>
      </w:r>
      <w:r w:rsidRPr="00237671">
        <w:rPr>
          <w:sz w:val="24"/>
          <w:szCs w:val="24"/>
        </w:rPr>
        <w:t xml:space="preserve"> тыс. тенге в связи тем, что утвержденные затраты в тарифной смете занижены по сравнению с проектом.</w:t>
      </w:r>
    </w:p>
    <w:p w:rsidR="00237671" w:rsidRPr="00237671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</w:t>
      </w:r>
      <w:r w:rsidR="00EB3290">
        <w:rPr>
          <w:b/>
          <w:sz w:val="24"/>
          <w:szCs w:val="24"/>
        </w:rPr>
        <w:t>банка</w:t>
      </w:r>
      <w:r w:rsidRPr="00237671">
        <w:rPr>
          <w:b/>
          <w:sz w:val="24"/>
          <w:szCs w:val="24"/>
        </w:rPr>
        <w:t xml:space="preserve">». </w:t>
      </w:r>
      <w:r w:rsidR="00422D84">
        <w:rPr>
          <w:sz w:val="24"/>
          <w:szCs w:val="24"/>
        </w:rPr>
        <w:t xml:space="preserve">Перерасход в сумме </w:t>
      </w:r>
      <w:r w:rsidR="00EB3290">
        <w:rPr>
          <w:sz w:val="24"/>
          <w:szCs w:val="24"/>
        </w:rPr>
        <w:t>13 110</w:t>
      </w:r>
      <w:r w:rsidRPr="00237671">
        <w:rPr>
          <w:sz w:val="24"/>
          <w:szCs w:val="24"/>
        </w:rPr>
        <w:t xml:space="preserve"> тыс. тенге по данной статье сложился в связи с увеличением </w:t>
      </w:r>
      <w:r w:rsidR="00EB3290">
        <w:rPr>
          <w:sz w:val="24"/>
          <w:szCs w:val="24"/>
        </w:rPr>
        <w:t>валютных операций</w:t>
      </w:r>
      <w:r w:rsidR="00422D84">
        <w:rPr>
          <w:sz w:val="24"/>
          <w:szCs w:val="24"/>
        </w:rPr>
        <w:t>.</w:t>
      </w:r>
      <w:r w:rsidRPr="00237671">
        <w:rPr>
          <w:sz w:val="24"/>
          <w:szCs w:val="24"/>
        </w:rPr>
        <w:t xml:space="preserve"> </w:t>
      </w:r>
    </w:p>
    <w:p w:rsidR="00237671" w:rsidRPr="00237671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«Другие расходы»</w:t>
      </w:r>
      <w:r w:rsidRPr="00237671">
        <w:rPr>
          <w:sz w:val="24"/>
          <w:szCs w:val="24"/>
        </w:rPr>
        <w:t xml:space="preserve"> - перерасход составил </w:t>
      </w:r>
      <w:r w:rsidR="00EB3290">
        <w:rPr>
          <w:sz w:val="24"/>
          <w:szCs w:val="24"/>
        </w:rPr>
        <w:t>5 891</w:t>
      </w:r>
      <w:r w:rsidRPr="00237671">
        <w:rPr>
          <w:sz w:val="24"/>
          <w:szCs w:val="24"/>
        </w:rPr>
        <w:t xml:space="preserve"> тыс. тенге, в связи с ростом цен на материалы на эксплуатацию и канцелярские товары. </w:t>
      </w:r>
      <w:r w:rsidRPr="00237671">
        <w:rPr>
          <w:sz w:val="24"/>
          <w:szCs w:val="24"/>
        </w:rPr>
        <w:tab/>
      </w:r>
      <w:r w:rsidRPr="00237671">
        <w:rPr>
          <w:sz w:val="24"/>
          <w:szCs w:val="24"/>
        </w:rPr>
        <w:tab/>
      </w:r>
    </w:p>
    <w:p w:rsidR="003F52BF" w:rsidRPr="00237671" w:rsidRDefault="003F52BF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ab/>
      </w:r>
    </w:p>
    <w:p w:rsidR="00ED65DE" w:rsidRDefault="00ED65DE" w:rsidP="00F01663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9308B4">
        <w:rPr>
          <w:b/>
          <w:sz w:val="24"/>
          <w:szCs w:val="24"/>
        </w:rPr>
        <w:t>О перспективах деятельности (планы развития), в том числе возможных изменениях</w:t>
      </w:r>
      <w:r w:rsidR="00777017">
        <w:rPr>
          <w:b/>
          <w:sz w:val="24"/>
          <w:szCs w:val="24"/>
        </w:rPr>
        <w:t xml:space="preserve"> тарифов на регулируемые услуги</w:t>
      </w:r>
    </w:p>
    <w:p w:rsidR="00ED65DE" w:rsidRDefault="00ED65DE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0B7BD2" w:rsidRPr="00237671" w:rsidRDefault="000B7BD2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В персп</w:t>
      </w:r>
      <w:r w:rsidR="004006D1" w:rsidRPr="00237671">
        <w:rPr>
          <w:rStyle w:val="s0"/>
          <w:sz w:val="24"/>
          <w:szCs w:val="24"/>
        </w:rPr>
        <w:t>ективе</w:t>
      </w:r>
      <w:r w:rsidRPr="00237671">
        <w:rPr>
          <w:rStyle w:val="s0"/>
          <w:sz w:val="24"/>
          <w:szCs w:val="24"/>
        </w:rPr>
        <w:t xml:space="preserve"> плана развития деятельности АО «ПАВЛОДАРЭНЕРГО»:</w:t>
      </w:r>
    </w:p>
    <w:p w:rsidR="000B7BD2" w:rsidRPr="00237671" w:rsidRDefault="000B7BD2" w:rsidP="00F01663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0B7BD2" w:rsidRPr="00237671" w:rsidRDefault="000B7BD2" w:rsidP="00F01663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0B7BD2" w:rsidRPr="00237671" w:rsidRDefault="000B7BD2" w:rsidP="00F01663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0B7BD2" w:rsidRPr="00237671" w:rsidRDefault="000B7BD2" w:rsidP="00F01663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0B7BD2" w:rsidRDefault="000B7BD2" w:rsidP="00F01663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предотвращение загрязнения окружающей среды</w:t>
      </w:r>
      <w:r w:rsidR="0026369B" w:rsidRPr="00237671">
        <w:rPr>
          <w:rStyle w:val="s0"/>
          <w:sz w:val="24"/>
          <w:szCs w:val="24"/>
        </w:rPr>
        <w:t>.</w:t>
      </w:r>
      <w:r w:rsidRPr="00237671">
        <w:rPr>
          <w:rStyle w:val="s0"/>
          <w:sz w:val="24"/>
          <w:szCs w:val="24"/>
        </w:rPr>
        <w:t xml:space="preserve"> </w:t>
      </w:r>
    </w:p>
    <w:p w:rsidR="00237671" w:rsidRPr="00237671" w:rsidRDefault="00237671" w:rsidP="00F01663">
      <w:pPr>
        <w:pStyle w:val="a3"/>
        <w:widowControl w:val="0"/>
        <w:ind w:left="709"/>
        <w:jc w:val="both"/>
        <w:rPr>
          <w:rStyle w:val="s0"/>
          <w:sz w:val="24"/>
          <w:szCs w:val="24"/>
        </w:rPr>
      </w:pPr>
    </w:p>
    <w:p w:rsidR="00243177" w:rsidRPr="00C86851" w:rsidRDefault="00C86851" w:rsidP="00DE1BB6">
      <w:pPr>
        <w:widowControl w:val="0"/>
        <w:tabs>
          <w:tab w:val="left" w:pos="36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Приказами</w:t>
      </w:r>
      <w:r w:rsidRPr="00C86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172-ОД и № 173-ОД </w:t>
      </w:r>
      <w:r w:rsidRPr="00C86851">
        <w:rPr>
          <w:sz w:val="24"/>
          <w:szCs w:val="24"/>
        </w:rPr>
        <w:t xml:space="preserve">РГУ ДКРЕМиЗК МНЭ РК по Павлодарской области в утверждены тарифы </w:t>
      </w:r>
      <w:r>
        <w:rPr>
          <w:sz w:val="24"/>
          <w:szCs w:val="24"/>
        </w:rPr>
        <w:t>на производство тепловой энергии ТЭЦ-3, ТЭЦ-2 и ЭТЭЦ н</w:t>
      </w:r>
      <w:r w:rsidRPr="00C86851">
        <w:rPr>
          <w:sz w:val="24"/>
          <w:szCs w:val="24"/>
        </w:rPr>
        <w:t xml:space="preserve">а </w:t>
      </w:r>
      <w:r w:rsidR="00777017" w:rsidRPr="00C86851">
        <w:rPr>
          <w:sz w:val="24"/>
          <w:szCs w:val="24"/>
        </w:rPr>
        <w:t>2016</w:t>
      </w:r>
      <w:r w:rsidRPr="00C86851">
        <w:rPr>
          <w:sz w:val="24"/>
          <w:szCs w:val="24"/>
        </w:rPr>
        <w:t>-2020</w:t>
      </w:r>
      <w:r>
        <w:rPr>
          <w:sz w:val="24"/>
          <w:szCs w:val="24"/>
        </w:rPr>
        <w:t xml:space="preserve"> года.</w:t>
      </w:r>
    </w:p>
    <w:p w:rsidR="00243177" w:rsidRPr="00C86851" w:rsidRDefault="00243177" w:rsidP="00F01663">
      <w:pPr>
        <w:widowControl w:val="0"/>
        <w:ind w:firstLine="709"/>
        <w:jc w:val="both"/>
        <w:rPr>
          <w:sz w:val="24"/>
          <w:szCs w:val="24"/>
        </w:rPr>
      </w:pPr>
    </w:p>
    <w:p w:rsidR="00677FC2" w:rsidRPr="000E2376" w:rsidRDefault="00677FC2" w:rsidP="00677FC2">
      <w:pPr>
        <w:pStyle w:val="21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0E2376">
        <w:rPr>
          <w:sz w:val="24"/>
          <w:szCs w:val="24"/>
        </w:rPr>
        <w:t xml:space="preserve">О деятельности производственных комплексов ТЭЦ-3 и ТЭЦ-2 </w:t>
      </w:r>
      <w:r w:rsidR="00DE1BB6">
        <w:rPr>
          <w:sz w:val="24"/>
          <w:szCs w:val="24"/>
        </w:rPr>
        <w:t xml:space="preserve">в городе Павлодаре </w:t>
      </w:r>
      <w:r w:rsidRPr="000E2376">
        <w:rPr>
          <w:sz w:val="24"/>
          <w:szCs w:val="24"/>
        </w:rPr>
        <w:t xml:space="preserve">по производству тепловой энергии с докладами выступили: директор станции ТЭЦ-3 г-н Гринев Игорь Николаевич и директор станции ТЭЦ-2 г-н Шевцов Владимир Григорьевич. Директора доложили об основных финансово-экономических показателях деятельности, об объемах отпуска тепловой энергии, о постатейном исполнении утвержденных тарифных смет, о выполнении инвестиционной программы. Рассказали о перспективах развития предприятия и о дальнейших изменениях тарифов на услуги по производству тепловой энергии. </w:t>
      </w:r>
      <w:r w:rsidRPr="000E2376">
        <w:rPr>
          <w:b/>
          <w:spacing w:val="1"/>
          <w:sz w:val="24"/>
          <w:szCs w:val="24"/>
        </w:rPr>
        <w:t xml:space="preserve"> </w:t>
      </w:r>
    </w:p>
    <w:p w:rsidR="00677FC2" w:rsidRPr="000E2376" w:rsidRDefault="00677FC2" w:rsidP="00677FC2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0E2376">
        <w:rPr>
          <w:sz w:val="24"/>
          <w:szCs w:val="24"/>
        </w:rPr>
        <w:t>Заслушав доклад директора станции ТЭЦ-3 у аудитории вопросов не возникло.</w:t>
      </w:r>
    </w:p>
    <w:p w:rsidR="00677FC2" w:rsidRPr="000E2376" w:rsidRDefault="00677FC2" w:rsidP="00677FC2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0E2376">
        <w:rPr>
          <w:sz w:val="24"/>
          <w:szCs w:val="24"/>
        </w:rPr>
        <w:t>Заслушав доклад директора станции ТЭЦ-2 у аудитории вопросов не возникло.</w:t>
      </w:r>
    </w:p>
    <w:p w:rsidR="00677FC2" w:rsidRPr="000E2376" w:rsidRDefault="00677FC2" w:rsidP="00677FC2">
      <w:pPr>
        <w:pStyle w:val="21"/>
        <w:widowControl w:val="0"/>
        <w:tabs>
          <w:tab w:val="left" w:pos="68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E2376">
        <w:rPr>
          <w:sz w:val="24"/>
          <w:szCs w:val="24"/>
        </w:rPr>
        <w:tab/>
      </w:r>
    </w:p>
    <w:p w:rsidR="00677FC2" w:rsidRPr="006643CB" w:rsidRDefault="00677FC2" w:rsidP="00677FC2">
      <w:pPr>
        <w:pStyle w:val="21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0E2376">
        <w:rPr>
          <w:sz w:val="24"/>
          <w:szCs w:val="24"/>
        </w:rPr>
        <w:t xml:space="preserve">О деятельности производственного комплекса ЭТЭЦ </w:t>
      </w:r>
      <w:r w:rsidR="00DE1BB6">
        <w:rPr>
          <w:sz w:val="24"/>
          <w:szCs w:val="24"/>
        </w:rPr>
        <w:t xml:space="preserve">в городе Экибастузе </w:t>
      </w:r>
      <w:r w:rsidRPr="000E2376">
        <w:rPr>
          <w:sz w:val="24"/>
          <w:szCs w:val="24"/>
        </w:rPr>
        <w:t xml:space="preserve">по производству тепловой энергии с докладом выступил </w:t>
      </w:r>
      <w:r w:rsidR="00EB358D">
        <w:rPr>
          <w:sz w:val="24"/>
          <w:szCs w:val="24"/>
        </w:rPr>
        <w:t xml:space="preserve">исполняющий обязанности </w:t>
      </w:r>
      <w:r w:rsidRPr="000E2376">
        <w:rPr>
          <w:sz w:val="24"/>
          <w:szCs w:val="24"/>
        </w:rPr>
        <w:t>директор</w:t>
      </w:r>
      <w:r w:rsidR="00DE1BB6">
        <w:rPr>
          <w:sz w:val="24"/>
          <w:szCs w:val="24"/>
        </w:rPr>
        <w:t>а</w:t>
      </w:r>
      <w:r w:rsidRPr="000E2376">
        <w:rPr>
          <w:sz w:val="24"/>
          <w:szCs w:val="24"/>
        </w:rPr>
        <w:t xml:space="preserve"> Экибастузской ТЭЦ, г-н </w:t>
      </w:r>
      <w:r w:rsidR="00DE1BB6">
        <w:rPr>
          <w:sz w:val="24"/>
          <w:szCs w:val="24"/>
        </w:rPr>
        <w:t>Захаров Дмитрий Александрович</w:t>
      </w:r>
      <w:r w:rsidRPr="000E2376">
        <w:rPr>
          <w:sz w:val="24"/>
          <w:szCs w:val="24"/>
        </w:rPr>
        <w:t>, который доложил об основных финансово-экономических показателях деятельности, об объемах отпуска тепловой энергии, о постатейном исполнении утвержденной тарифной сметы, о выполнении инвестиционной программы. Рассказал о перспективах развития предприятия и о дальнейших изменениях тарифов на услуги по производству тепловой энергии.</w:t>
      </w:r>
    </w:p>
    <w:p w:rsidR="00677FC2" w:rsidRPr="00DD6A5A" w:rsidRDefault="00677FC2" w:rsidP="00677FC2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DD6A5A">
        <w:rPr>
          <w:sz w:val="24"/>
          <w:szCs w:val="24"/>
        </w:rPr>
        <w:t xml:space="preserve">Заслушав доклад </w:t>
      </w:r>
      <w:r w:rsidR="00EB358D">
        <w:rPr>
          <w:sz w:val="24"/>
          <w:szCs w:val="24"/>
        </w:rPr>
        <w:t>исполняющего обязанности</w:t>
      </w:r>
      <w:bookmarkStart w:id="2" w:name="_GoBack"/>
      <w:bookmarkEnd w:id="2"/>
      <w:r w:rsidR="00DE1BB6">
        <w:rPr>
          <w:sz w:val="24"/>
          <w:szCs w:val="24"/>
        </w:rPr>
        <w:t xml:space="preserve"> </w:t>
      </w:r>
      <w:r w:rsidRPr="00DD6A5A">
        <w:rPr>
          <w:sz w:val="24"/>
          <w:szCs w:val="24"/>
        </w:rPr>
        <w:t>директора станции ЭТЭЦ у аудитории</w:t>
      </w:r>
      <w:r w:rsidR="00DD6A5A" w:rsidRPr="00DD6A5A">
        <w:rPr>
          <w:sz w:val="24"/>
          <w:szCs w:val="24"/>
        </w:rPr>
        <w:t xml:space="preserve"> вопросов не</w:t>
      </w:r>
      <w:r w:rsidRPr="00DD6A5A">
        <w:rPr>
          <w:sz w:val="24"/>
          <w:szCs w:val="24"/>
        </w:rPr>
        <w:t xml:space="preserve"> возникло.</w:t>
      </w:r>
    </w:p>
    <w:sectPr w:rsidR="00677FC2" w:rsidRPr="00DD6A5A" w:rsidSect="002376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2266"/>
    <w:rsid w:val="0004048A"/>
    <w:rsid w:val="000433DD"/>
    <w:rsid w:val="0006637C"/>
    <w:rsid w:val="000736DC"/>
    <w:rsid w:val="000B3041"/>
    <w:rsid w:val="000B7BD2"/>
    <w:rsid w:val="001232FA"/>
    <w:rsid w:val="00123F5D"/>
    <w:rsid w:val="00126F86"/>
    <w:rsid w:val="00135CB5"/>
    <w:rsid w:val="001708A5"/>
    <w:rsid w:val="00180154"/>
    <w:rsid w:val="00190FE2"/>
    <w:rsid w:val="001C39D4"/>
    <w:rsid w:val="001C7EB9"/>
    <w:rsid w:val="001E7A16"/>
    <w:rsid w:val="002225E4"/>
    <w:rsid w:val="00233CA1"/>
    <w:rsid w:val="00237671"/>
    <w:rsid w:val="00243177"/>
    <w:rsid w:val="002445BA"/>
    <w:rsid w:val="002446F8"/>
    <w:rsid w:val="0026223D"/>
    <w:rsid w:val="0026369B"/>
    <w:rsid w:val="002719E5"/>
    <w:rsid w:val="002A47DF"/>
    <w:rsid w:val="002B27CB"/>
    <w:rsid w:val="002B7FB8"/>
    <w:rsid w:val="00315777"/>
    <w:rsid w:val="00343D5A"/>
    <w:rsid w:val="003B5889"/>
    <w:rsid w:val="003C2559"/>
    <w:rsid w:val="003E5923"/>
    <w:rsid w:val="003F2600"/>
    <w:rsid w:val="003F52BF"/>
    <w:rsid w:val="004006D1"/>
    <w:rsid w:val="004045EF"/>
    <w:rsid w:val="00422D84"/>
    <w:rsid w:val="00424606"/>
    <w:rsid w:val="004732C9"/>
    <w:rsid w:val="00497A1B"/>
    <w:rsid w:val="00503FCE"/>
    <w:rsid w:val="00527F0D"/>
    <w:rsid w:val="00542863"/>
    <w:rsid w:val="005524DA"/>
    <w:rsid w:val="005A7344"/>
    <w:rsid w:val="005A76D7"/>
    <w:rsid w:val="005E7294"/>
    <w:rsid w:val="0065060F"/>
    <w:rsid w:val="00655BBE"/>
    <w:rsid w:val="00663892"/>
    <w:rsid w:val="00677FC2"/>
    <w:rsid w:val="006F75B5"/>
    <w:rsid w:val="00701D29"/>
    <w:rsid w:val="00716E9F"/>
    <w:rsid w:val="007577B0"/>
    <w:rsid w:val="00777017"/>
    <w:rsid w:val="007E0ADA"/>
    <w:rsid w:val="0080553F"/>
    <w:rsid w:val="00810EE0"/>
    <w:rsid w:val="008146E6"/>
    <w:rsid w:val="008261D6"/>
    <w:rsid w:val="008401DD"/>
    <w:rsid w:val="008411B9"/>
    <w:rsid w:val="00851C0D"/>
    <w:rsid w:val="008B0892"/>
    <w:rsid w:val="008F38A3"/>
    <w:rsid w:val="00906AF2"/>
    <w:rsid w:val="00920F89"/>
    <w:rsid w:val="0092140B"/>
    <w:rsid w:val="009253D8"/>
    <w:rsid w:val="0094172E"/>
    <w:rsid w:val="00946A1D"/>
    <w:rsid w:val="00953EA3"/>
    <w:rsid w:val="00971AD2"/>
    <w:rsid w:val="00993831"/>
    <w:rsid w:val="009C4915"/>
    <w:rsid w:val="009F69AC"/>
    <w:rsid w:val="00A274AF"/>
    <w:rsid w:val="00A3194B"/>
    <w:rsid w:val="00A5607F"/>
    <w:rsid w:val="00A735EA"/>
    <w:rsid w:val="00A7612D"/>
    <w:rsid w:val="00A863A4"/>
    <w:rsid w:val="00A96E49"/>
    <w:rsid w:val="00AA151D"/>
    <w:rsid w:val="00AB0B78"/>
    <w:rsid w:val="00AC1114"/>
    <w:rsid w:val="00AC7DB6"/>
    <w:rsid w:val="00AE402A"/>
    <w:rsid w:val="00B370FA"/>
    <w:rsid w:val="00B42846"/>
    <w:rsid w:val="00B72D7D"/>
    <w:rsid w:val="00B82B8C"/>
    <w:rsid w:val="00B93517"/>
    <w:rsid w:val="00BA63E6"/>
    <w:rsid w:val="00BB6C24"/>
    <w:rsid w:val="00BD2274"/>
    <w:rsid w:val="00BE2FB5"/>
    <w:rsid w:val="00BF108B"/>
    <w:rsid w:val="00BF197E"/>
    <w:rsid w:val="00C86851"/>
    <w:rsid w:val="00CA5A57"/>
    <w:rsid w:val="00CD2BED"/>
    <w:rsid w:val="00D027CD"/>
    <w:rsid w:val="00D26D9B"/>
    <w:rsid w:val="00D5098B"/>
    <w:rsid w:val="00D60406"/>
    <w:rsid w:val="00DC289D"/>
    <w:rsid w:val="00DD6A5A"/>
    <w:rsid w:val="00DE1BB6"/>
    <w:rsid w:val="00DF083E"/>
    <w:rsid w:val="00E325B2"/>
    <w:rsid w:val="00E66E4A"/>
    <w:rsid w:val="00E86EAC"/>
    <w:rsid w:val="00EA0DC8"/>
    <w:rsid w:val="00EB3290"/>
    <w:rsid w:val="00EB358D"/>
    <w:rsid w:val="00EB69F2"/>
    <w:rsid w:val="00EC527D"/>
    <w:rsid w:val="00EC656B"/>
    <w:rsid w:val="00ED65DE"/>
    <w:rsid w:val="00EF4585"/>
    <w:rsid w:val="00F01663"/>
    <w:rsid w:val="00F1776A"/>
    <w:rsid w:val="00F6036F"/>
    <w:rsid w:val="00F61F7E"/>
    <w:rsid w:val="00F77677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Тагизова </cp:lastModifiedBy>
  <cp:revision>5</cp:revision>
  <cp:lastPrinted>2018-04-18T04:32:00Z</cp:lastPrinted>
  <dcterms:created xsi:type="dcterms:W3CDTF">2018-04-27T05:56:00Z</dcterms:created>
  <dcterms:modified xsi:type="dcterms:W3CDTF">2018-04-27T10:41:00Z</dcterms:modified>
</cp:coreProperties>
</file>